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5A794">
      <w:pPr>
        <w:overflowPunct w:val="0"/>
        <w:autoSpaceDE w:val="0"/>
        <w:autoSpaceDN w:val="0"/>
        <w:adjustRightInd w:val="0"/>
        <w:spacing w:line="360" w:lineRule="auto"/>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28</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R2-2</w:t>
      </w:r>
      <w:r>
        <w:rPr>
          <w:rFonts w:hint="eastAsia" w:ascii="Arial" w:hAnsi="Arial" w:eastAsia="宋体" w:cs="Arial"/>
          <w:b/>
          <w:kern w:val="0"/>
          <w:sz w:val="24"/>
          <w:szCs w:val="24"/>
          <w:lang w:val="en-US" w:eastAsia="zh-CN"/>
        </w:rPr>
        <w:t>410342</w:t>
      </w:r>
      <w:bookmarkStart w:id="1" w:name="_GoBack"/>
      <w:bookmarkEnd w:id="1"/>
    </w:p>
    <w:p w14:paraId="204D30C9">
      <w:pPr>
        <w:overflowPunct w:val="0"/>
        <w:autoSpaceDE w:val="0"/>
        <w:autoSpaceDN w:val="0"/>
        <w:adjustRightInd w:val="0"/>
        <w:spacing w:line="360" w:lineRule="auto"/>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Orlando, US,</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November</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18</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rPr>
        <w:t>-</w:t>
      </w:r>
      <w:r>
        <w:rPr>
          <w:rFonts w:hint="eastAsia" w:ascii="Arial" w:hAnsi="Arial" w:eastAsia="宋体" w:cs="Arial"/>
          <w:b/>
          <w:bCs/>
          <w:kern w:val="0"/>
          <w:sz w:val="24"/>
          <w:szCs w:val="24"/>
          <w:lang w:val="en-US" w:eastAsia="zh-CN"/>
        </w:rPr>
        <w:t>22</w:t>
      </w:r>
      <w:r>
        <w:rPr>
          <w:rFonts w:hint="eastAsia" w:ascii="Arial" w:hAnsi="Arial" w:eastAsia="宋体" w:cs="Arial"/>
          <w:b/>
          <w:bCs/>
          <w:kern w:val="0"/>
          <w:sz w:val="24"/>
          <w:szCs w:val="24"/>
          <w:vertAlign w:val="superscript"/>
          <w:lang w:val="en-US" w:eastAsia="zh-CN"/>
        </w:rPr>
        <w:t>nd</w:t>
      </w:r>
      <w:r>
        <w:rPr>
          <w:rFonts w:ascii="Arial" w:hAnsi="Arial" w:eastAsia="宋体" w:cs="Arial"/>
          <w:b/>
          <w:bCs/>
          <w:kern w:val="0"/>
          <w:sz w:val="24"/>
          <w:szCs w:val="24"/>
          <w:lang w:val="en-GB"/>
        </w:rPr>
        <w:t>, 202</w:t>
      </w:r>
      <w:r>
        <w:rPr>
          <w:rFonts w:hint="eastAsia" w:ascii="Arial" w:hAnsi="Arial" w:eastAsia="宋体" w:cs="Arial"/>
          <w:b/>
          <w:bCs/>
          <w:kern w:val="0"/>
          <w:sz w:val="24"/>
          <w:szCs w:val="24"/>
        </w:rPr>
        <w:t>4</w:t>
      </w:r>
    </w:p>
    <w:p w14:paraId="0B32D4D1">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12E4DCD7">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1.2.2</w:t>
      </w:r>
    </w:p>
    <w:p w14:paraId="0AFEC942">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19F435AE">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LCM for UE-sided model for BM</w:t>
      </w:r>
    </w:p>
    <w:p w14:paraId="77AA7886">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NR_AIML_air-Core</w:t>
      </w:r>
    </w:p>
    <w:p w14:paraId="509CEA55">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2BD8943E">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2A808A9F">
      <w:pPr>
        <w:widowControl/>
        <w:spacing w:after="180"/>
        <w:rPr>
          <w:rFonts w:ascii="Arial" w:hAnsi="Arial" w:eastAsia="宋体" w:cs="Arial"/>
          <w:kern w:val="0"/>
          <w:sz w:val="20"/>
          <w:szCs w:val="20"/>
          <w:lang w:val="en-GB" w:eastAsia="en-US"/>
        </w:rPr>
      </w:pPr>
      <w:r>
        <w:rPr>
          <w:rFonts w:hint="eastAsia" w:ascii="Arial" w:hAnsi="Arial" w:cs="Arial"/>
          <w:sz w:val="20"/>
          <w:szCs w:val="20"/>
          <w:lang w:val="en-US" w:eastAsia="zh-CN"/>
        </w:rPr>
        <w:t>In last meeting [1], RAN2 discussed LCM for UE-sided model for BM and achieved the following agreements</w:t>
      </w:r>
      <w:r>
        <w:rPr>
          <w:rFonts w:hint="eastAsia" w:ascii="Arial" w:hAnsi="Arial" w:cs="Arial"/>
          <w:sz w:val="20"/>
          <w:szCs w:val="20"/>
        </w:rPr>
        <w:t>.</w:t>
      </w:r>
      <w:r>
        <w:rPr>
          <w:rFonts w:ascii="Arial" w:hAnsi="Arial" w:eastAsia="宋体" w:cs="Arial"/>
          <w:kern w:val="0"/>
          <w:sz w:val="20"/>
          <w:szCs w:val="20"/>
          <w:lang w:val="en-GB" w:eastAsia="en-US"/>
        </w:rPr>
        <w:t xml:space="preserve"> </w:t>
      </w:r>
    </w:p>
    <w:p w14:paraId="2C7EC14C">
      <w:pPr>
        <w:pStyle w:val="32"/>
        <w:numPr>
          <w:ilvl w:val="0"/>
          <w:numId w:val="6"/>
        </w:numPr>
        <w:pBdr>
          <w:top w:val="single" w:color="auto" w:sz="4" w:space="1"/>
          <w:left w:val="single" w:color="auto" w:sz="4" w:space="4"/>
          <w:bottom w:val="single" w:color="auto" w:sz="4" w:space="1"/>
          <w:right w:val="single" w:color="auto" w:sz="4" w:space="4"/>
        </w:pBdr>
        <w:tabs>
          <w:tab w:val="left" w:pos="1352"/>
          <w:tab w:val="clear" w:pos="1619"/>
        </w:tabs>
        <w:rPr>
          <w:rFonts w:hint="default" w:ascii="Arial" w:hAnsi="Arial" w:cs="Arial"/>
          <w:b w:val="0"/>
          <w:bCs w:val="0"/>
          <w:sz w:val="20"/>
          <w:szCs w:val="21"/>
          <w:lang w:val="en-US" w:eastAsia="zh-CN"/>
        </w:rPr>
      </w:pPr>
      <w:r>
        <w:rPr>
          <w:rFonts w:hint="default" w:ascii="Arial" w:hAnsi="Arial" w:cs="Arial"/>
          <w:b w:val="0"/>
          <w:bCs w:val="0"/>
          <w:sz w:val="20"/>
          <w:szCs w:val="21"/>
          <w:lang w:val="en-US" w:eastAsia="zh-CN"/>
        </w:rPr>
        <w:t xml:space="preserve">UAI is supported and RRCReconfigurationComplete message can be used to report applicable functionality.   We should aim to align the design on how the applicable functionality are signaled.   FFS on the applicability reporting content.   </w:t>
      </w:r>
    </w:p>
    <w:p w14:paraId="0E7AA645">
      <w:pPr>
        <w:pStyle w:val="32"/>
        <w:numPr>
          <w:ilvl w:val="0"/>
          <w:numId w:val="6"/>
        </w:numPr>
        <w:pBdr>
          <w:top w:val="single" w:color="auto" w:sz="4" w:space="1"/>
          <w:left w:val="single" w:color="auto" w:sz="4" w:space="4"/>
          <w:bottom w:val="single" w:color="auto" w:sz="4" w:space="1"/>
          <w:right w:val="single" w:color="auto" w:sz="4" w:space="4"/>
        </w:pBdr>
        <w:tabs>
          <w:tab w:val="left" w:pos="1352"/>
          <w:tab w:val="clear" w:pos="1619"/>
        </w:tabs>
        <w:rPr>
          <w:rFonts w:hint="default" w:ascii="Arial" w:hAnsi="Arial" w:cs="Arial"/>
          <w:b w:val="0"/>
          <w:bCs w:val="0"/>
          <w:sz w:val="20"/>
          <w:szCs w:val="21"/>
          <w:lang w:val="en-US" w:eastAsia="zh-CN"/>
        </w:rPr>
      </w:pPr>
      <w:r>
        <w:rPr>
          <w:rFonts w:hint="default" w:ascii="Arial" w:hAnsi="Arial" w:cs="Arial"/>
          <w:b w:val="0"/>
          <w:bCs w:val="0"/>
          <w:sz w:val="20"/>
          <w:szCs w:val="21"/>
          <w:lang w:val="en-US" w:eastAsia="zh-CN"/>
        </w:rPr>
        <w:t xml:space="preserve">FFS if inference configuration can be signalled in step3.  </w:t>
      </w:r>
    </w:p>
    <w:p w14:paraId="3923938F">
      <w:pPr>
        <w:pStyle w:val="32"/>
        <w:numPr>
          <w:ilvl w:val="0"/>
          <w:numId w:val="6"/>
        </w:numPr>
        <w:pBdr>
          <w:top w:val="single" w:color="auto" w:sz="4" w:space="1"/>
          <w:left w:val="single" w:color="auto" w:sz="4" w:space="4"/>
          <w:bottom w:val="single" w:color="auto" w:sz="4" w:space="1"/>
          <w:right w:val="single" w:color="auto" w:sz="4" w:space="4"/>
        </w:pBdr>
        <w:tabs>
          <w:tab w:val="left" w:pos="1352"/>
          <w:tab w:val="clear" w:pos="1619"/>
        </w:tabs>
        <w:rPr>
          <w:rFonts w:hint="default" w:ascii="Arial" w:hAnsi="Arial" w:cs="Arial"/>
          <w:b w:val="0"/>
          <w:bCs w:val="0"/>
          <w:sz w:val="20"/>
          <w:szCs w:val="21"/>
          <w:lang w:val="en-US" w:eastAsia="zh-CN"/>
        </w:rPr>
      </w:pPr>
      <w:r>
        <w:rPr>
          <w:rFonts w:hint="default" w:ascii="Arial" w:hAnsi="Arial" w:cs="Arial"/>
          <w:b w:val="0"/>
          <w:bCs w:val="0"/>
          <w:sz w:val="20"/>
          <w:szCs w:val="21"/>
          <w:lang w:val="en-US" w:eastAsia="zh-CN"/>
        </w:rPr>
        <w:t xml:space="preserve">UE can report to the network when an applicable AI functionality becomes non-applicable.  FFS how this is signaled (e.g. explicitly/implicitly).  Consider different scenarios, whether it is regarding an active functionality) </w:t>
      </w:r>
    </w:p>
    <w:p w14:paraId="019BAF2B">
      <w:pPr>
        <w:pStyle w:val="32"/>
        <w:numPr>
          <w:ilvl w:val="0"/>
          <w:numId w:val="6"/>
        </w:numPr>
        <w:pBdr>
          <w:top w:val="single" w:color="auto" w:sz="4" w:space="1"/>
          <w:left w:val="single" w:color="auto" w:sz="4" w:space="4"/>
          <w:bottom w:val="single" w:color="auto" w:sz="4" w:space="1"/>
          <w:right w:val="single" w:color="auto" w:sz="4" w:space="4"/>
        </w:pBdr>
        <w:tabs>
          <w:tab w:val="left" w:pos="1352"/>
          <w:tab w:val="clear" w:pos="1619"/>
        </w:tabs>
        <w:rPr>
          <w:rFonts w:hint="default" w:ascii="Arial" w:hAnsi="Arial" w:cs="Arial"/>
          <w:b w:val="0"/>
          <w:bCs w:val="0"/>
          <w:sz w:val="20"/>
          <w:szCs w:val="21"/>
          <w:lang w:val="en-US" w:eastAsia="zh-CN"/>
        </w:rPr>
      </w:pPr>
      <w:r>
        <w:rPr>
          <w:rFonts w:hint="default" w:ascii="Arial" w:hAnsi="Arial" w:cs="Arial"/>
          <w:b w:val="0"/>
          <w:bCs w:val="0"/>
          <w:sz w:val="20"/>
          <w:szCs w:val="21"/>
          <w:highlight w:val="none"/>
          <w:lang w:val="en-US" w:eastAsia="zh-CN"/>
        </w:rPr>
        <w:t>Data collection initiation and configuration for data collection is under network control.  FFS how the NW determines whether data collection should be initiated (e.g. via UE requests (UE directly or UE server)</w:t>
      </w:r>
      <w:r>
        <w:rPr>
          <w:rFonts w:hint="default" w:ascii="Arial" w:hAnsi="Arial" w:cs="Arial"/>
          <w:b w:val="0"/>
          <w:bCs w:val="0"/>
          <w:sz w:val="20"/>
          <w:szCs w:val="21"/>
          <w:lang w:val="en-US" w:eastAsia="zh-CN"/>
        </w:rPr>
        <w:t xml:space="preserve"> </w:t>
      </w:r>
    </w:p>
    <w:p w14:paraId="31470D77">
      <w:pPr>
        <w:pStyle w:val="32"/>
        <w:numPr>
          <w:ilvl w:val="0"/>
          <w:numId w:val="6"/>
        </w:numPr>
        <w:pBdr>
          <w:top w:val="single" w:color="auto" w:sz="4" w:space="1"/>
          <w:left w:val="single" w:color="auto" w:sz="4" w:space="4"/>
          <w:bottom w:val="single" w:color="auto" w:sz="4" w:space="1"/>
          <w:right w:val="single" w:color="auto" w:sz="4" w:space="4"/>
        </w:pBdr>
        <w:tabs>
          <w:tab w:val="left" w:pos="1352"/>
          <w:tab w:val="clear" w:pos="1619"/>
        </w:tabs>
        <w:rPr>
          <w:rFonts w:hint="default" w:ascii="Arial" w:hAnsi="Arial" w:cs="Arial"/>
          <w:b w:val="0"/>
          <w:bCs w:val="0"/>
          <w:sz w:val="20"/>
          <w:szCs w:val="21"/>
          <w:lang w:val="en-US" w:eastAsia="zh-CN"/>
        </w:rPr>
      </w:pPr>
      <w:r>
        <w:rPr>
          <w:rFonts w:hint="default" w:ascii="Arial" w:hAnsi="Arial" w:cs="Arial"/>
          <w:b w:val="0"/>
          <w:bCs w:val="0"/>
          <w:sz w:val="20"/>
          <w:szCs w:val="21"/>
          <w:lang w:val="en-US" w:eastAsia="zh-CN"/>
        </w:rPr>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62EFBF6C">
      <w:pPr>
        <w:pStyle w:val="32"/>
        <w:numPr>
          <w:ilvl w:val="0"/>
          <w:numId w:val="6"/>
        </w:numPr>
        <w:pBdr>
          <w:top w:val="single" w:color="auto" w:sz="4" w:space="1"/>
          <w:left w:val="single" w:color="auto" w:sz="4" w:space="4"/>
          <w:bottom w:val="single" w:color="auto" w:sz="4" w:space="1"/>
          <w:right w:val="single" w:color="auto" w:sz="4" w:space="4"/>
        </w:pBdr>
        <w:tabs>
          <w:tab w:val="left" w:pos="1352"/>
          <w:tab w:val="clear" w:pos="1619"/>
        </w:tabs>
        <w:rPr>
          <w:rFonts w:hint="default" w:ascii="Arial" w:hAnsi="Arial" w:cs="Arial"/>
          <w:b w:val="0"/>
          <w:bCs w:val="0"/>
          <w:sz w:val="20"/>
          <w:szCs w:val="21"/>
          <w:lang w:val="en-US" w:eastAsia="zh-CN"/>
        </w:rPr>
      </w:pPr>
      <w:r>
        <w:rPr>
          <w:rFonts w:hint="default" w:ascii="Arial" w:hAnsi="Arial" w:cs="Arial"/>
          <w:b w:val="0"/>
          <w:bCs w:val="0"/>
          <w:sz w:val="20"/>
          <w:szCs w:val="21"/>
          <w:lang w:val="en-US" w:eastAsia="zh-CN"/>
        </w:rPr>
        <w:t>For now, RAN2 will not define terminology specific to the activation or deactivation for AI/ML models.  Can come back to this discussion later.</w:t>
      </w:r>
    </w:p>
    <w:p w14:paraId="02213538">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US" w:eastAsia="zh-CN"/>
        </w:rPr>
        <w:t>T</w:t>
      </w:r>
      <w:r>
        <w:rPr>
          <w:rFonts w:ascii="Arial" w:hAnsi="Arial" w:eastAsia="宋体" w:cs="Arial"/>
          <w:kern w:val="0"/>
          <w:sz w:val="20"/>
          <w:szCs w:val="20"/>
          <w:lang w:val="en-GB"/>
        </w:rPr>
        <w:t>his contribution</w:t>
      </w:r>
      <w:r>
        <w:rPr>
          <w:rFonts w:ascii="Arial" w:hAnsi="Arial" w:cs="Arial"/>
          <w:sz w:val="20"/>
          <w:szCs w:val="20"/>
        </w:rPr>
        <w:t xml:space="preserve"> </w:t>
      </w:r>
      <w:r>
        <w:rPr>
          <w:rFonts w:hint="eastAsia" w:ascii="Arial" w:hAnsi="Arial" w:cs="Arial"/>
          <w:sz w:val="20"/>
          <w:szCs w:val="20"/>
        </w:rPr>
        <w:t xml:space="preserve">will </w:t>
      </w:r>
      <w:r>
        <w:rPr>
          <w:rFonts w:hint="eastAsia" w:ascii="Arial" w:hAnsi="Arial" w:cs="Arial"/>
          <w:sz w:val="20"/>
          <w:szCs w:val="20"/>
          <w:lang w:val="en-US" w:eastAsia="zh-CN"/>
        </w:rPr>
        <w:t>discuss</w:t>
      </w:r>
      <w:r>
        <w:rPr>
          <w:rFonts w:hint="eastAsia" w:ascii="Arial" w:hAnsi="Arial" w:eastAsia="宋体" w:cs="Arial"/>
          <w:kern w:val="0"/>
          <w:sz w:val="20"/>
          <w:szCs w:val="20"/>
          <w:lang w:val="en-US" w:eastAsia="zh-CN"/>
        </w:rPr>
        <w:t xml:space="preserve"> the</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 xml:space="preserve">remaining issues on </w:t>
      </w:r>
      <w:r>
        <w:rPr>
          <w:rFonts w:hint="eastAsia" w:ascii="Arial" w:hAnsi="Arial" w:eastAsia="宋体" w:cs="Arial"/>
          <w:i w:val="0"/>
          <w:iCs/>
          <w:sz w:val="20"/>
          <w:szCs w:val="21"/>
          <w:lang w:val="en-US" w:eastAsia="zh-CN"/>
        </w:rPr>
        <w:t>UE</w:t>
      </w:r>
      <w:r>
        <w:rPr>
          <w:rFonts w:hint="eastAsia" w:ascii="Arial" w:hAnsi="Arial" w:eastAsia="宋体" w:cs="Arial"/>
          <w:kern w:val="0"/>
          <w:sz w:val="20"/>
          <w:szCs w:val="20"/>
          <w:lang w:val="en-US" w:eastAsia="zh-CN"/>
        </w:rPr>
        <w:t>-sided model LCM for beam management use case</w:t>
      </w:r>
      <w:r>
        <w:rPr>
          <w:rFonts w:ascii="Arial" w:hAnsi="Arial" w:eastAsia="宋体" w:cs="Arial"/>
          <w:kern w:val="0"/>
          <w:sz w:val="20"/>
          <w:szCs w:val="20"/>
          <w:lang w:val="en-GB"/>
        </w:rPr>
        <w:t>.</w:t>
      </w:r>
    </w:p>
    <w:p w14:paraId="76131D78">
      <w:pPr>
        <w:keepNext/>
        <w:keepLines/>
        <w:widowControl/>
        <w:numPr>
          <w:ilvl w:val="0"/>
          <w:numId w:val="7"/>
        </w:numPr>
        <w:pBdr>
          <w:top w:val="single" w:color="auto" w:sz="12" w:space="3"/>
        </w:pBdr>
        <w:spacing w:before="240" w:after="180"/>
        <w:ind w:left="1134" w:hanging="1134"/>
        <w:jc w:val="left"/>
        <w:outlineLvl w:val="0"/>
        <w:rPr>
          <w:rFonts w:hint="default" w:ascii="Arial" w:hAnsi="Arial" w:cs="Arial"/>
          <w:b/>
          <w:bCs w:val="0"/>
          <w:sz w:val="28"/>
          <w:szCs w:val="28"/>
          <w:lang w:val="en-US" w:eastAsia="zh-CN"/>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2EE4F47B">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2.1 Applicable functionality reporting</w:t>
      </w:r>
    </w:p>
    <w:p w14:paraId="012FDB4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0"/>
          <w:szCs w:val="20"/>
          <w:lang w:val="en-US" w:eastAsia="zh-CN"/>
        </w:rPr>
      </w:pPr>
      <w:r>
        <w:rPr>
          <w:rFonts w:hint="eastAsia" w:ascii="Arial" w:hAnsi="Arial" w:cs="Arial"/>
          <w:sz w:val="20"/>
          <w:szCs w:val="20"/>
          <w:lang w:val="en-US" w:eastAsia="zh-CN"/>
        </w:rPr>
        <w:t>In last meeting, RAN2 agreed UE can report to the network when an applicable AI functionality becomes non-applicable, and FFS how this is signaled (e.g. explicitly/implicitly). We understand that a smart network can be aware of the non-applicable functionality based on applicable functionality and supported functionality reported by the UE. There is no need to report the non-applicable functionality explicitly.</w:t>
      </w:r>
    </w:p>
    <w:p w14:paraId="227A4B6D">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sz w:val="20"/>
          <w:szCs w:val="20"/>
          <w:lang w:val="en-US" w:eastAsia="zh-CN"/>
        </w:rPr>
      </w:pPr>
      <w:r>
        <w:rPr>
          <w:rFonts w:hint="eastAsia" w:ascii="Arial" w:hAnsi="Arial" w:cs="Arial"/>
          <w:b/>
          <w:bCs/>
          <w:sz w:val="20"/>
          <w:szCs w:val="20"/>
          <w:lang w:val="en-US" w:eastAsia="zh-CN"/>
        </w:rPr>
        <w:t>Proposal 1: There is no need to signal non-applicable functionality to the network, since it can be indicated implicitly based on applicable functionality and supported functionality reported by UE.</w:t>
      </w:r>
    </w:p>
    <w:p w14:paraId="19F897FA">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b/>
          <w:bCs w:val="0"/>
          <w:sz w:val="28"/>
          <w:szCs w:val="28"/>
          <w:lang w:val="en-US" w:eastAsia="zh-CN"/>
        </w:rPr>
      </w:pPr>
    </w:p>
    <w:p w14:paraId="1ADD98D0">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highlight w:val="none"/>
          <w:lang w:val="en-US" w:eastAsia="zh-CN"/>
        </w:rPr>
      </w:pPr>
      <w:r>
        <w:rPr>
          <w:rFonts w:hint="eastAsia" w:ascii="Arial" w:hAnsi="Arial" w:cs="Arial"/>
          <w:b w:val="0"/>
          <w:bCs/>
          <w:sz w:val="28"/>
          <w:szCs w:val="28"/>
          <w:highlight w:val="none"/>
          <w:lang w:val="en-US" w:eastAsia="zh-CN"/>
        </w:rPr>
        <w:t>2.2 Functionality identification</w:t>
      </w:r>
    </w:p>
    <w:p w14:paraId="29814259">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sz w:val="20"/>
          <w:szCs w:val="22"/>
          <w:lang w:val="en-US" w:eastAsia="zh-CN"/>
        </w:rPr>
      </w:pPr>
      <w:r>
        <w:rPr>
          <w:rFonts w:hint="eastAsia" w:ascii="Arial" w:hAnsi="Arial" w:cs="Arial"/>
          <w:sz w:val="20"/>
          <w:szCs w:val="22"/>
          <w:lang w:val="en-US" w:eastAsia="zh-CN"/>
        </w:rPr>
        <w:t>During R18 study phase, RAN1 agreed to take the UE capability reporting as starting point for functionality identification and the UE can report the applicable functionality after functionality identification, which were captured in TR 38.843 [2].</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86A7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1B182E8">
            <w:pPr>
              <w:pStyle w:val="4"/>
              <w:keepLines w:val="0"/>
              <w:pageBreakBefore w:val="0"/>
              <w:widowControl w:val="0"/>
              <w:numPr>
                <w:ilvl w:val="2"/>
                <w:numId w:val="0"/>
              </w:numPr>
              <w:tabs>
                <w:tab w:val="left" w:pos="432"/>
                <w:tab w:val="left" w:pos="1002"/>
                <w:tab w:val="clear" w:pos="720"/>
              </w:tabs>
              <w:kinsoku/>
              <w:wordWrap/>
              <w:overflowPunct/>
              <w:topLinePunct w:val="0"/>
              <w:autoSpaceDE/>
              <w:autoSpaceDN/>
              <w:bidi w:val="0"/>
              <w:adjustRightInd/>
              <w:snapToGrid/>
              <w:spacing w:after="120"/>
              <w:ind w:leftChars="0" w:right="210" w:rightChars="100"/>
              <w:textAlignment w:val="auto"/>
              <w:rPr>
                <w:rFonts w:hint="default" w:ascii="Arial" w:hAnsi="Arial" w:cs="Arial"/>
                <w:sz w:val="28"/>
                <w:szCs w:val="24"/>
              </w:rPr>
            </w:pPr>
            <w:r>
              <w:rPr>
                <w:rFonts w:hint="default" w:ascii="Arial" w:hAnsi="Arial" w:cs="Arial"/>
                <w:sz w:val="28"/>
                <w:szCs w:val="24"/>
              </w:rPr>
              <w:t>4.2.1</w:t>
            </w:r>
            <w:r>
              <w:rPr>
                <w:rFonts w:hint="default" w:ascii="Arial" w:hAnsi="Arial" w:cs="Arial"/>
                <w:sz w:val="28"/>
                <w:szCs w:val="24"/>
              </w:rPr>
              <w:tab/>
            </w:r>
            <w:r>
              <w:rPr>
                <w:rFonts w:hint="default" w:ascii="Arial" w:hAnsi="Arial" w:cs="Arial"/>
                <w:sz w:val="28"/>
                <w:szCs w:val="24"/>
              </w:rPr>
              <w:t>LCM Flavours</w:t>
            </w:r>
          </w:p>
          <w:p w14:paraId="5DA00948">
            <w:pPr>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sz w:val="20"/>
                <w:szCs w:val="21"/>
              </w:rPr>
            </w:pPr>
            <w:r>
              <w:rPr>
                <w:rFonts w:hint="default" w:ascii="Arial" w:hAnsi="Arial" w:cs="Arial"/>
                <w:sz w:val="20"/>
                <w:szCs w:val="21"/>
              </w:rPr>
              <w:t xml:space="preserve">The LCM procedure is studied for the case that an AI/ML model has a </w:t>
            </w:r>
            <w:r>
              <w:rPr>
                <w:rFonts w:hint="default" w:ascii="Arial" w:hAnsi="Arial" w:cs="Arial"/>
                <w:i/>
                <w:iCs/>
                <w:sz w:val="20"/>
                <w:szCs w:val="21"/>
              </w:rPr>
              <w:t>model ID</w:t>
            </w:r>
            <w:r>
              <w:rPr>
                <w:rFonts w:hint="default" w:ascii="Arial" w:hAnsi="Arial" w:cs="Arial"/>
                <w:sz w:val="20"/>
                <w:szCs w:val="21"/>
              </w:rPr>
              <w:t xml:space="preserve"> with associated information and/or for the case that a given </w:t>
            </w:r>
            <w:r>
              <w:rPr>
                <w:rFonts w:hint="default" w:ascii="Arial" w:hAnsi="Arial" w:cs="Arial"/>
                <w:i/>
                <w:iCs/>
                <w:sz w:val="20"/>
                <w:szCs w:val="21"/>
              </w:rPr>
              <w:t>functionality</w:t>
            </w:r>
            <w:r>
              <w:rPr>
                <w:rFonts w:hint="default" w:ascii="Arial" w:hAnsi="Arial" w:cs="Arial"/>
                <w:sz w:val="20"/>
                <w:szCs w:val="21"/>
              </w:rPr>
              <w:t xml:space="preserve"> is provided by some AI/ML operations. Note: Applicability of functionality-based LCM and model-ID-based LCM is a separate discussion.</w:t>
            </w:r>
          </w:p>
          <w:p w14:paraId="6DE93C9A">
            <w:pPr>
              <w:keepLines w:val="0"/>
              <w:pageBreakBefore w:val="0"/>
              <w:widowControl w:val="0"/>
              <w:kinsoku/>
              <w:wordWrap/>
              <w:overflowPunct/>
              <w:topLinePunct w:val="0"/>
              <w:autoSpaceDE/>
              <w:autoSpaceDN/>
              <w:bidi w:val="0"/>
              <w:adjustRightInd/>
              <w:snapToGrid/>
              <w:spacing w:after="120"/>
              <w:textAlignment w:val="auto"/>
              <w:rPr>
                <w:rFonts w:hint="default" w:ascii="Arial" w:hAnsi="Arial" w:eastAsia="Calibri" w:cs="Arial"/>
                <w:sz w:val="20"/>
                <w:szCs w:val="21"/>
              </w:rPr>
            </w:pPr>
            <w:r>
              <w:rPr>
                <w:rFonts w:hint="default" w:ascii="Arial" w:hAnsi="Arial" w:cs="Arial"/>
                <w:sz w:val="20"/>
                <w:szCs w:val="21"/>
              </w:rPr>
              <w:t xml:space="preserve">From RAN1 perspective, an AI/ML model identified by a model ID may be </w:t>
            </w:r>
            <w:r>
              <w:rPr>
                <w:rFonts w:hint="default" w:ascii="Arial" w:hAnsi="Arial" w:cs="Arial"/>
                <w:i/>
                <w:sz w:val="20"/>
                <w:szCs w:val="21"/>
              </w:rPr>
              <w:t>logical</w:t>
            </w:r>
            <w:r>
              <w:rPr>
                <w:rFonts w:hint="default" w:ascii="Arial" w:hAnsi="Arial" w:cs="Arial"/>
                <w:sz w:val="20"/>
                <w:szCs w:val="21"/>
              </w:rPr>
              <w:t>, and how it maps to physical AI/ML model(s) may be up to implementation.</w:t>
            </w:r>
            <w:r>
              <w:rPr>
                <w:rFonts w:hint="default" w:ascii="Arial" w:hAnsi="Arial" w:eastAsia="Calibri" w:cs="Arial"/>
                <w:sz w:val="20"/>
                <w:szCs w:val="21"/>
              </w:rPr>
              <w:t xml:space="preserve"> When distinction is necessary for discussion purposes, companies may use the term a</w:t>
            </w:r>
            <w:r>
              <w:rPr>
                <w:rFonts w:hint="default" w:ascii="Arial" w:hAnsi="Arial" w:eastAsia="Calibri" w:cs="Arial"/>
                <w:sz w:val="20"/>
                <w:szCs w:val="21"/>
                <w:highlight w:val="none"/>
              </w:rPr>
              <w:t xml:space="preserve"> </w:t>
            </w:r>
            <w:r>
              <w:rPr>
                <w:rFonts w:hint="default" w:ascii="Arial" w:hAnsi="Arial" w:eastAsia="Calibri" w:cs="Arial"/>
                <w:i/>
                <w:iCs/>
                <w:sz w:val="20"/>
                <w:szCs w:val="21"/>
                <w:highlight w:val="none"/>
              </w:rPr>
              <w:t>logical AI/ML model</w:t>
            </w:r>
            <w:r>
              <w:rPr>
                <w:rFonts w:hint="default" w:ascii="Arial" w:hAnsi="Arial" w:eastAsia="Calibri" w:cs="Arial"/>
                <w:sz w:val="20"/>
                <w:szCs w:val="21"/>
                <w:highlight w:val="none"/>
              </w:rPr>
              <w:t xml:space="preserve"> to refer to a model that is identified and assigned a model ID, and </w:t>
            </w:r>
            <w:r>
              <w:rPr>
                <w:rFonts w:hint="default" w:ascii="Arial" w:hAnsi="Arial" w:eastAsia="Calibri" w:cs="Arial"/>
                <w:i/>
                <w:iCs/>
                <w:sz w:val="20"/>
                <w:szCs w:val="21"/>
                <w:highlight w:val="none"/>
              </w:rPr>
              <w:t>physical AI/ML model(s)</w:t>
            </w:r>
            <w:r>
              <w:rPr>
                <w:rFonts w:hint="default" w:ascii="Arial" w:hAnsi="Arial" w:eastAsia="Calibri" w:cs="Arial"/>
                <w:sz w:val="20"/>
                <w:szCs w:val="21"/>
                <w:highlight w:val="none"/>
              </w:rPr>
              <w:t xml:space="preserve"> </w:t>
            </w:r>
            <w:r>
              <w:rPr>
                <w:rFonts w:hint="default" w:ascii="Arial" w:hAnsi="Arial" w:eastAsia="Calibri" w:cs="Arial"/>
                <w:sz w:val="20"/>
                <w:szCs w:val="21"/>
              </w:rPr>
              <w:t>to refer to an actual implementation of such a model.</w:t>
            </w:r>
            <w:r>
              <w:rPr>
                <w:rFonts w:hint="default" w:ascii="Arial" w:hAnsi="Arial" w:cs="Arial"/>
                <w:i/>
                <w:iCs/>
                <w:sz w:val="20"/>
                <w:szCs w:val="21"/>
              </w:rPr>
              <w:t xml:space="preserve"> </w:t>
            </w:r>
          </w:p>
          <w:p w14:paraId="133CB2B8">
            <w:pPr>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sz w:val="20"/>
                <w:szCs w:val="21"/>
              </w:rPr>
            </w:pPr>
            <w:r>
              <w:rPr>
                <w:rFonts w:hint="default" w:ascii="Arial" w:hAnsi="Arial" w:cs="Arial"/>
                <w:sz w:val="20"/>
                <w:szCs w:val="21"/>
              </w:rPr>
              <w:t>For UE-side models and UE-part of two-sided models:</w:t>
            </w:r>
          </w:p>
          <w:p w14:paraId="1B94C3D7">
            <w:pPr>
              <w:pStyle w:val="24"/>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sz w:val="20"/>
                <w:szCs w:val="21"/>
                <w:highlight w:val="yellow"/>
              </w:rPr>
            </w:pPr>
            <w:r>
              <w:rPr>
                <w:rFonts w:hint="default" w:ascii="Arial" w:hAnsi="Arial" w:cs="Arial"/>
                <w:sz w:val="20"/>
                <w:szCs w:val="21"/>
                <w:highlight w:val="yellow"/>
              </w:rPr>
              <w:t>-</w:t>
            </w:r>
            <w:r>
              <w:rPr>
                <w:rFonts w:hint="default" w:ascii="Arial" w:hAnsi="Arial" w:cs="Arial"/>
                <w:sz w:val="20"/>
                <w:szCs w:val="21"/>
                <w:highlight w:val="yellow"/>
              </w:rPr>
              <w:tab/>
            </w:r>
            <w:r>
              <w:rPr>
                <w:rFonts w:hint="default" w:ascii="Arial" w:hAnsi="Arial" w:cs="Arial"/>
                <w:sz w:val="20"/>
                <w:szCs w:val="21"/>
                <w:highlight w:val="yellow"/>
              </w:rPr>
              <w:t>For AI/ML functionality identification</w:t>
            </w:r>
          </w:p>
          <w:p w14:paraId="2FE42E70">
            <w:pPr>
              <w:pStyle w:val="35"/>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sz w:val="20"/>
                <w:szCs w:val="21"/>
                <w:highlight w:val="yellow"/>
              </w:rPr>
            </w:pPr>
            <w:r>
              <w:rPr>
                <w:rFonts w:hint="default" w:ascii="Arial" w:hAnsi="Arial" w:cs="Arial"/>
                <w:sz w:val="20"/>
                <w:szCs w:val="21"/>
                <w:highlight w:val="yellow"/>
              </w:rPr>
              <w:t>-</w:t>
            </w:r>
            <w:r>
              <w:rPr>
                <w:rFonts w:hint="default" w:ascii="Arial" w:hAnsi="Arial" w:cs="Arial"/>
                <w:sz w:val="20"/>
                <w:szCs w:val="21"/>
                <w:highlight w:val="yellow"/>
              </w:rPr>
              <w:tab/>
            </w:r>
            <w:r>
              <w:rPr>
                <w:rFonts w:hint="default" w:ascii="Arial" w:hAnsi="Arial" w:cs="Arial"/>
                <w:sz w:val="20"/>
                <w:szCs w:val="21"/>
                <w:highlight w:val="yellow"/>
              </w:rPr>
              <w:t>Legacy 3GPP framework of feature is taken as a starting point.</w:t>
            </w:r>
          </w:p>
          <w:p w14:paraId="7DD90288">
            <w:pPr>
              <w:pStyle w:val="35"/>
              <w:keepLines w:val="0"/>
              <w:pageBreakBefore w:val="0"/>
              <w:widowControl w:val="0"/>
              <w:kinsoku/>
              <w:wordWrap/>
              <w:overflowPunct/>
              <w:topLinePunct w:val="0"/>
              <w:autoSpaceDE/>
              <w:autoSpaceDN/>
              <w:bidi w:val="0"/>
              <w:adjustRightInd/>
              <w:snapToGrid/>
              <w:spacing w:after="120"/>
              <w:ind w:left="850" w:hanging="288"/>
              <w:textAlignment w:val="auto"/>
              <w:rPr>
                <w:rFonts w:hint="default" w:ascii="Arial" w:hAnsi="Arial" w:cs="Arial"/>
                <w:sz w:val="20"/>
                <w:szCs w:val="21"/>
                <w:highlight w:val="yellow"/>
              </w:rPr>
            </w:pPr>
            <w:r>
              <w:rPr>
                <w:rFonts w:hint="default" w:ascii="Arial" w:hAnsi="Arial" w:cs="Arial"/>
                <w:sz w:val="20"/>
                <w:szCs w:val="21"/>
                <w:highlight w:val="yellow"/>
              </w:rPr>
              <w:t>-</w:t>
            </w:r>
            <w:r>
              <w:rPr>
                <w:rFonts w:hint="default" w:ascii="Arial" w:hAnsi="Arial" w:cs="Arial"/>
                <w:sz w:val="20"/>
                <w:szCs w:val="21"/>
                <w:highlight w:val="yellow"/>
              </w:rPr>
              <w:tab/>
            </w:r>
            <w:r>
              <w:rPr>
                <w:rFonts w:hint="default" w:ascii="Arial" w:hAnsi="Arial" w:cs="Arial"/>
                <w:sz w:val="20"/>
                <w:szCs w:val="21"/>
                <w:highlight w:val="yellow"/>
              </w:rPr>
              <w:t>UE indicates supported functionalities/functionality for a given sub-use-case.</w:t>
            </w:r>
          </w:p>
          <w:p w14:paraId="6F48EE73">
            <w:pPr>
              <w:pStyle w:val="39"/>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sz w:val="20"/>
                <w:szCs w:val="21"/>
                <w:highlight w:val="yellow"/>
              </w:rPr>
            </w:pPr>
            <w:r>
              <w:rPr>
                <w:rFonts w:hint="default" w:ascii="Arial" w:hAnsi="Arial" w:cs="Arial"/>
                <w:sz w:val="20"/>
                <w:szCs w:val="21"/>
                <w:highlight w:val="yellow"/>
                <w:lang w:eastAsia="zh-CN"/>
              </w:rPr>
              <w:t>-</w:t>
            </w:r>
            <w:r>
              <w:rPr>
                <w:rFonts w:hint="default" w:ascii="Arial" w:hAnsi="Arial" w:cs="Arial"/>
                <w:sz w:val="20"/>
                <w:szCs w:val="21"/>
                <w:highlight w:val="yellow"/>
                <w:lang w:eastAsia="zh-CN"/>
              </w:rPr>
              <w:tab/>
            </w:r>
            <w:r>
              <w:rPr>
                <w:rFonts w:hint="default" w:ascii="Arial" w:hAnsi="Arial" w:cs="Arial"/>
                <w:sz w:val="20"/>
                <w:szCs w:val="21"/>
                <w:highlight w:val="yellow"/>
                <w:lang w:eastAsia="zh-CN"/>
              </w:rPr>
              <w:t>UE capability reporting is taken as starting point.</w:t>
            </w:r>
          </w:p>
          <w:p w14:paraId="2637A95E">
            <w:pPr>
              <w:pStyle w:val="24"/>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sz w:val="20"/>
                <w:szCs w:val="21"/>
              </w:rPr>
            </w:pPr>
            <w:r>
              <w:rPr>
                <w:rFonts w:hint="default" w:ascii="Arial" w:hAnsi="Arial" w:cs="Arial"/>
                <w:sz w:val="20"/>
                <w:szCs w:val="21"/>
              </w:rPr>
              <w:t>-</w:t>
            </w:r>
            <w:r>
              <w:rPr>
                <w:rFonts w:hint="default" w:ascii="Arial" w:hAnsi="Arial" w:cs="Arial"/>
                <w:sz w:val="20"/>
                <w:szCs w:val="21"/>
              </w:rPr>
              <w:tab/>
            </w:r>
            <w:r>
              <w:rPr>
                <w:rFonts w:hint="default" w:ascii="Arial" w:hAnsi="Arial" w:cs="Arial"/>
                <w:sz w:val="20"/>
                <w:szCs w:val="21"/>
              </w:rPr>
              <w:t xml:space="preserve">For AI/ML model identification </w:t>
            </w:r>
          </w:p>
          <w:p w14:paraId="48E361F3">
            <w:pPr>
              <w:pStyle w:val="35"/>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sz w:val="20"/>
                <w:szCs w:val="21"/>
              </w:rPr>
            </w:pPr>
            <w:r>
              <w:rPr>
                <w:rFonts w:hint="default" w:ascii="Arial" w:hAnsi="Arial" w:cs="Arial"/>
                <w:sz w:val="20"/>
                <w:szCs w:val="21"/>
              </w:rPr>
              <w:t>-</w:t>
            </w:r>
            <w:r>
              <w:rPr>
                <w:rFonts w:hint="default" w:ascii="Arial" w:hAnsi="Arial" w:cs="Arial"/>
                <w:sz w:val="20"/>
                <w:szCs w:val="21"/>
              </w:rPr>
              <w:tab/>
            </w:r>
            <w:r>
              <w:rPr>
                <w:rFonts w:hint="default" w:ascii="Arial" w:hAnsi="Arial" w:cs="Arial"/>
                <w:sz w:val="20"/>
                <w:szCs w:val="21"/>
              </w:rPr>
              <w:t>Models are identified by model ID at the Network. UE indicates supported AI/ML models.</w:t>
            </w:r>
          </w:p>
          <w:p w14:paraId="44FBD660">
            <w:pPr>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i/>
                <w:iCs/>
                <w:sz w:val="20"/>
                <w:szCs w:val="21"/>
                <w:lang w:val="en-US" w:eastAsia="zh-CN"/>
              </w:rPr>
            </w:pPr>
            <w:r>
              <w:rPr>
                <w:rFonts w:hint="eastAsia" w:ascii="Arial" w:hAnsi="Arial" w:cs="Arial"/>
                <w:i/>
                <w:iCs/>
                <w:sz w:val="20"/>
                <w:szCs w:val="21"/>
                <w:lang w:val="en-US" w:eastAsia="zh-CN"/>
              </w:rPr>
              <w:t>&lt;omitted&gt;</w:t>
            </w:r>
          </w:p>
          <w:p w14:paraId="27D39BDC">
            <w:pPr>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sz w:val="20"/>
                <w:szCs w:val="21"/>
              </w:rPr>
            </w:pPr>
            <w:r>
              <w:rPr>
                <w:rFonts w:hint="default" w:ascii="Arial" w:hAnsi="Arial" w:cs="Arial"/>
                <w:sz w:val="20"/>
                <w:szCs w:val="21"/>
                <w:highlight w:val="yellow"/>
              </w:rPr>
              <w:t>After functionality identification</w:t>
            </w:r>
            <w:r>
              <w:rPr>
                <w:rFonts w:hint="default" w:ascii="Arial" w:hAnsi="Arial" w:cs="Arial"/>
                <w:sz w:val="20"/>
                <w:szCs w:val="21"/>
              </w:rPr>
              <w:t>, necessity, mechanisms, for </w:t>
            </w:r>
            <w:r>
              <w:rPr>
                <w:rFonts w:hint="default" w:ascii="Arial" w:hAnsi="Arial" w:cs="Arial"/>
                <w:sz w:val="20"/>
                <w:szCs w:val="21"/>
                <w:highlight w:val="yellow"/>
              </w:rPr>
              <w:t>UE to report updates on applicable functionality(es)</w:t>
            </w:r>
            <w:r>
              <w:rPr>
                <w:rFonts w:hint="default" w:ascii="Arial" w:hAnsi="Arial" w:cs="Arial"/>
                <w:sz w:val="20"/>
                <w:szCs w:val="21"/>
              </w:rPr>
              <w:t xml:space="preserve"> among functionality(es) are studied, where the applicable functionalities may be a subset of all functionalities. Applicable functionalities can be reported by the UE.</w:t>
            </w:r>
          </w:p>
          <w:p w14:paraId="55385962">
            <w:pPr>
              <w:keepLines w:val="0"/>
              <w:pageBreakBefore w:val="0"/>
              <w:widowControl w:val="0"/>
              <w:kinsoku/>
              <w:wordWrap/>
              <w:overflowPunct/>
              <w:topLinePunct w:val="0"/>
              <w:autoSpaceDE/>
              <w:autoSpaceDN/>
              <w:bidi w:val="0"/>
              <w:adjustRightInd/>
              <w:snapToGrid/>
              <w:spacing w:after="120"/>
              <w:textAlignment w:val="auto"/>
              <w:rPr>
                <w:rFonts w:hint="eastAsia" w:ascii="Arial" w:hAnsi="Arial" w:cs="Arial"/>
                <w:sz w:val="20"/>
                <w:szCs w:val="22"/>
                <w:vertAlign w:val="baseline"/>
                <w:lang w:val="en-US" w:eastAsia="zh-CN"/>
              </w:rPr>
            </w:pPr>
            <w:r>
              <w:rPr>
                <w:rFonts w:hint="eastAsia" w:ascii="Arial" w:hAnsi="Arial" w:cs="Arial"/>
                <w:i/>
                <w:iCs/>
                <w:sz w:val="20"/>
                <w:szCs w:val="21"/>
                <w:lang w:val="en-US" w:eastAsia="zh-CN"/>
              </w:rPr>
              <w:t>&lt;omitted&gt;</w:t>
            </w:r>
          </w:p>
        </w:tc>
      </w:tr>
    </w:tbl>
    <w:p w14:paraId="62C3E796">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sz w:val="20"/>
          <w:szCs w:val="22"/>
          <w:lang w:val="en-US" w:eastAsia="zh-CN"/>
        </w:rPr>
      </w:pPr>
      <w:r>
        <w:rPr>
          <w:rFonts w:hint="eastAsia" w:ascii="Arial" w:hAnsi="Arial" w:cs="Arial"/>
          <w:sz w:val="20"/>
          <w:szCs w:val="22"/>
          <w:lang w:val="en-US" w:eastAsia="zh-CN"/>
        </w:rPr>
        <w:t>In R19, RAN2 discussed the basic procedure of applicable functionality reporting which includes the UE capability reporting</w:t>
      </w:r>
      <w:r>
        <w:rPr>
          <w:rFonts w:hint="default" w:ascii="Arial" w:hAnsi="Arial" w:cs="Arial"/>
          <w:sz w:val="20"/>
          <w:szCs w:val="20"/>
          <w:lang w:val="en-US" w:eastAsia="zh-CN"/>
        </w:rPr>
        <w:t xml:space="preserve"> </w:t>
      </w:r>
      <w:r>
        <w:rPr>
          <w:rFonts w:hint="default" w:ascii="Arial" w:hAnsi="Arial" w:cs="Arial"/>
          <w:sz w:val="20"/>
          <w:szCs w:val="20"/>
        </w:rPr>
        <w:t xml:space="preserve">containing </w:t>
      </w:r>
      <w:r>
        <w:rPr>
          <w:rFonts w:hint="eastAsia" w:ascii="Arial" w:hAnsi="Arial" w:cs="Arial"/>
          <w:sz w:val="20"/>
          <w:szCs w:val="20"/>
          <w:lang w:val="en-US" w:eastAsia="zh-CN"/>
        </w:rPr>
        <w:t xml:space="preserve">the </w:t>
      </w:r>
      <w:r>
        <w:rPr>
          <w:rFonts w:hint="default" w:ascii="Arial" w:hAnsi="Arial" w:cs="Arial"/>
          <w:sz w:val="20"/>
          <w:szCs w:val="20"/>
        </w:rPr>
        <w:t>supported functionalities</w:t>
      </w:r>
      <w:r>
        <w:rPr>
          <w:rFonts w:hint="eastAsia" w:ascii="Arial" w:hAnsi="Arial" w:cs="Arial"/>
          <w:sz w:val="20"/>
          <w:szCs w:val="20"/>
          <w:lang w:val="en-US" w:eastAsia="zh-CN"/>
        </w:rPr>
        <w:t xml:space="preserve"> in UE side</w:t>
      </w:r>
      <w:r>
        <w:rPr>
          <w:rFonts w:hint="eastAsia" w:ascii="Arial" w:hAnsi="Arial" w:cs="Arial"/>
          <w:sz w:val="20"/>
          <w:szCs w:val="22"/>
          <w:lang w:val="en-US" w:eastAsia="zh-CN"/>
        </w:rPr>
        <w:t>. In our understanding, functionality identification is achieved in step 1 and step 2. Therefore, we think there is no need to introduce an additional definition and procedure for functionality identification.</w:t>
      </w:r>
    </w:p>
    <w:p w14:paraId="7C3D2849">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b/>
          <w:bCs/>
          <w:sz w:val="20"/>
          <w:szCs w:val="22"/>
          <w:lang w:val="en-US" w:eastAsia="zh-CN"/>
        </w:rPr>
      </w:pPr>
      <w:r>
        <w:rPr>
          <w:rFonts w:hint="eastAsia" w:ascii="Arial" w:hAnsi="Arial" w:cs="Arial"/>
          <w:b/>
          <w:bCs/>
          <w:sz w:val="20"/>
          <w:szCs w:val="22"/>
          <w:lang w:val="en-US" w:eastAsia="zh-CN"/>
        </w:rPr>
        <w:t xml:space="preserve">Proposal 2: There is no need to introduce the definition and procedure for functionality identification since it is achieved in UE capability reporting (i.e. step1/2 of applicable functionality reporting). </w:t>
      </w:r>
    </w:p>
    <w:p w14:paraId="34012915">
      <w:pPr>
        <w:pStyle w:val="9"/>
        <w:keepNext w:val="0"/>
        <w:keepLines w:val="0"/>
        <w:pageBreakBefore w:val="0"/>
        <w:widowControl w:val="0"/>
        <w:kinsoku/>
        <w:wordWrap/>
        <w:overflowPunct/>
        <w:topLinePunct w:val="0"/>
        <w:autoSpaceDE/>
        <w:autoSpaceDN/>
        <w:bidi w:val="0"/>
        <w:adjustRightInd/>
        <w:snapToGrid/>
        <w:spacing w:before="0" w:beforeLines="50"/>
        <w:textAlignment w:val="auto"/>
        <w:rPr>
          <w:rFonts w:hint="eastAsia" w:ascii="Arial" w:hAnsi="Arial" w:cs="Arial"/>
          <w:b/>
          <w:bCs w:val="0"/>
          <w:sz w:val="20"/>
          <w:szCs w:val="20"/>
          <w:lang w:val="en-US" w:eastAsia="zh-CN"/>
        </w:rPr>
      </w:pPr>
    </w:p>
    <w:p w14:paraId="780FC19A">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eastAsia" w:ascii="Arial" w:hAnsi="Arial" w:cs="Arial"/>
          <w:b w:val="0"/>
          <w:bCs/>
          <w:sz w:val="28"/>
          <w:szCs w:val="28"/>
          <w:lang w:val="en-US" w:eastAsia="zh-CN"/>
        </w:rPr>
      </w:pPr>
      <w:r>
        <w:rPr>
          <w:rFonts w:hint="eastAsia" w:ascii="Arial" w:hAnsi="Arial" w:cs="Arial"/>
          <w:b w:val="0"/>
          <w:bCs/>
          <w:sz w:val="28"/>
          <w:szCs w:val="28"/>
          <w:lang w:val="en-US" w:eastAsia="zh-CN"/>
        </w:rPr>
        <w:t>2.3 Data collection for training</w:t>
      </w:r>
    </w:p>
    <w:p w14:paraId="41F03A3E">
      <w:pPr>
        <w:numPr>
          <w:ilvl w:val="0"/>
          <w:numId w:val="0"/>
        </w:numPr>
        <w:spacing w:before="120" w:beforeLines="50" w:after="120" w:line="260" w:lineRule="exact"/>
        <w:rPr>
          <w:rFonts w:hint="eastAsia" w:ascii="Arial" w:hAnsi="Arial" w:cs="Arial"/>
          <w:b w:val="0"/>
          <w:bCs w:val="0"/>
          <w:sz w:val="20"/>
          <w:szCs w:val="20"/>
          <w:lang w:val="en-US" w:eastAsia="zh-CN"/>
        </w:rPr>
      </w:pPr>
      <w:r>
        <w:rPr>
          <w:rFonts w:hint="eastAsia" w:ascii="Arial" w:hAnsi="Arial" w:cs="Arial"/>
          <w:b w:val="0"/>
          <w:bCs w:val="0"/>
          <w:sz w:val="20"/>
          <w:szCs w:val="20"/>
          <w:lang w:val="en-US" w:eastAsia="zh-CN"/>
        </w:rPr>
        <w:t xml:space="preserve">For UE side data collection for model training, RAN2 discussed the following options but had no consensus. </w:t>
      </w:r>
    </w:p>
    <w:p w14:paraId="006AC7DD">
      <w:pPr>
        <w:spacing w:after="180"/>
        <w:ind w:left="568" w:hanging="284"/>
        <w:rPr>
          <w:rFonts w:hint="default" w:ascii="Arial" w:hAnsi="Arial" w:eastAsia="宋体" w:cs="Arial"/>
          <w:sz w:val="20"/>
          <w:szCs w:val="21"/>
        </w:rPr>
      </w:pPr>
      <w:bookmarkStart w:id="0" w:name="_Hlk176893835"/>
      <w:r>
        <w:rPr>
          <w:rFonts w:hint="eastAsia" w:ascii="Arial" w:hAnsi="Arial" w:eastAsia="宋体" w:cs="Arial"/>
          <w:b/>
          <w:bCs/>
          <w:sz w:val="20"/>
          <w:szCs w:val="21"/>
          <w:lang w:val="en-US" w:eastAsia="zh-CN"/>
        </w:rPr>
        <w:t xml:space="preserve">Option </w:t>
      </w:r>
      <w:r>
        <w:rPr>
          <w:rFonts w:hint="default" w:ascii="Arial" w:hAnsi="Arial" w:eastAsia="宋体" w:cs="Arial"/>
          <w:b/>
          <w:bCs/>
          <w:sz w:val="20"/>
          <w:szCs w:val="21"/>
        </w:rPr>
        <w:t>1a.</w:t>
      </w:r>
      <w:r>
        <w:rPr>
          <w:rFonts w:hint="eastAsia" w:ascii="Arial" w:hAnsi="Arial" w:eastAsia="宋体" w:cs="Arial"/>
          <w:b/>
          <w:bCs/>
          <w:sz w:val="20"/>
          <w:szCs w:val="21"/>
          <w:lang w:val="en-US" w:eastAsia="zh-CN"/>
        </w:rPr>
        <w:t xml:space="preserve"> </w:t>
      </w:r>
      <w:r>
        <w:rPr>
          <w:rFonts w:hint="default" w:ascii="Arial" w:hAnsi="Arial" w:eastAsia="宋体" w:cs="Arial"/>
          <w:sz w:val="20"/>
          <w:szCs w:val="21"/>
        </w:rPr>
        <w:t>UE collects and directly transfers training data to the data collection entity outside the MNO (e.g. Over-The-Top (OTT) server) for UE-side model training. No 3GPP specification impact is expected.</w:t>
      </w:r>
    </w:p>
    <w:p w14:paraId="75A6318D">
      <w:pPr>
        <w:spacing w:after="180"/>
        <w:ind w:left="568" w:hanging="284"/>
        <w:rPr>
          <w:rFonts w:hint="default" w:ascii="Arial" w:hAnsi="Arial" w:eastAsia="宋体" w:cs="Arial"/>
          <w:sz w:val="20"/>
          <w:szCs w:val="21"/>
        </w:rPr>
      </w:pPr>
      <w:r>
        <w:rPr>
          <w:rFonts w:hint="eastAsia" w:ascii="Arial" w:hAnsi="Arial" w:eastAsia="宋体" w:cs="Arial"/>
          <w:b/>
          <w:bCs/>
          <w:sz w:val="20"/>
          <w:szCs w:val="21"/>
          <w:lang w:val="en-US" w:eastAsia="zh-CN"/>
        </w:rPr>
        <w:t xml:space="preserve">Option </w:t>
      </w:r>
      <w:r>
        <w:rPr>
          <w:rFonts w:hint="default" w:ascii="Arial" w:hAnsi="Arial" w:eastAsia="宋体" w:cs="Arial"/>
          <w:b/>
          <w:bCs/>
          <w:sz w:val="20"/>
          <w:szCs w:val="21"/>
        </w:rPr>
        <w:t>1b.</w:t>
      </w:r>
      <w:r>
        <w:rPr>
          <w:rFonts w:hint="eastAsia" w:ascii="Arial" w:hAnsi="Arial" w:eastAsia="宋体" w:cs="Arial"/>
          <w:b/>
          <w:bCs/>
          <w:sz w:val="20"/>
          <w:szCs w:val="21"/>
          <w:lang w:val="en-US" w:eastAsia="zh-CN"/>
        </w:rPr>
        <w:t xml:space="preserve"> </w:t>
      </w:r>
      <w:r>
        <w:rPr>
          <w:rFonts w:hint="default" w:ascii="Arial" w:hAnsi="Arial" w:eastAsia="宋体" w:cs="Arial"/>
          <w:sz w:val="20"/>
          <w:szCs w:val="21"/>
        </w:rPr>
        <w:t>UE collects training data and transfers it to the server for data collection for UE-side model training (inside the MNO) and then optionally from the server for data collection for UE-side model training to the OTT server (outside the MNO).</w:t>
      </w:r>
    </w:p>
    <w:p w14:paraId="01290D32">
      <w:pPr>
        <w:spacing w:after="180"/>
        <w:ind w:left="568" w:hanging="284"/>
        <w:rPr>
          <w:rFonts w:hint="default" w:ascii="Arial" w:hAnsi="Arial" w:eastAsia="宋体" w:cs="Arial"/>
          <w:sz w:val="20"/>
          <w:szCs w:val="21"/>
        </w:rPr>
      </w:pPr>
      <w:r>
        <w:rPr>
          <w:rFonts w:hint="eastAsia" w:ascii="Arial" w:hAnsi="Arial" w:eastAsia="宋体" w:cs="Arial"/>
          <w:b/>
          <w:bCs/>
          <w:sz w:val="20"/>
          <w:szCs w:val="21"/>
          <w:lang w:val="en-US" w:eastAsia="zh-CN"/>
        </w:rPr>
        <w:t xml:space="preserve">Option </w:t>
      </w:r>
      <w:r>
        <w:rPr>
          <w:rFonts w:hint="default" w:ascii="Arial" w:hAnsi="Arial" w:eastAsia="宋体" w:cs="Arial"/>
          <w:b/>
          <w:bCs/>
          <w:sz w:val="20"/>
          <w:szCs w:val="21"/>
        </w:rPr>
        <w:t>2.</w:t>
      </w:r>
      <w:r>
        <w:rPr>
          <w:rFonts w:hint="default" w:ascii="Arial" w:hAnsi="Arial" w:eastAsia="宋体" w:cs="Arial"/>
          <w:b/>
          <w:bCs/>
          <w:sz w:val="20"/>
          <w:szCs w:val="21"/>
        </w:rPr>
        <w:tab/>
      </w:r>
      <w:r>
        <w:rPr>
          <w:rFonts w:hint="default" w:ascii="Arial" w:hAnsi="Arial" w:eastAsia="宋体" w:cs="Arial"/>
          <w:sz w:val="20"/>
          <w:szCs w:val="21"/>
        </w:rPr>
        <w:t>UE collects training data and transfers it to Core Network. Core Network transfers the training data to the server for data collection for UE-side model training/OTT server.</w:t>
      </w:r>
    </w:p>
    <w:p w14:paraId="35616B81">
      <w:pPr>
        <w:spacing w:after="180"/>
        <w:ind w:left="568" w:hanging="284"/>
        <w:rPr>
          <w:rFonts w:hint="default" w:ascii="Arial" w:hAnsi="Arial" w:eastAsia="宋体" w:cs="Arial"/>
          <w:sz w:val="20"/>
          <w:szCs w:val="21"/>
        </w:rPr>
      </w:pPr>
      <w:r>
        <w:rPr>
          <w:rFonts w:hint="eastAsia" w:ascii="Arial" w:hAnsi="Arial" w:eastAsia="宋体" w:cs="Arial"/>
          <w:b/>
          <w:bCs/>
          <w:sz w:val="20"/>
          <w:szCs w:val="21"/>
          <w:lang w:val="en-US" w:eastAsia="zh-CN"/>
        </w:rPr>
        <w:t xml:space="preserve">Option </w:t>
      </w:r>
      <w:r>
        <w:rPr>
          <w:rFonts w:hint="default" w:ascii="Arial" w:hAnsi="Arial" w:eastAsia="宋体" w:cs="Arial"/>
          <w:b/>
          <w:bCs/>
          <w:sz w:val="20"/>
          <w:szCs w:val="21"/>
        </w:rPr>
        <w:t>3.</w:t>
      </w:r>
      <w:r>
        <w:rPr>
          <w:rFonts w:hint="default" w:ascii="Arial" w:hAnsi="Arial" w:eastAsia="宋体" w:cs="Arial"/>
          <w:b/>
          <w:bCs/>
          <w:sz w:val="20"/>
          <w:szCs w:val="21"/>
        </w:rPr>
        <w:tab/>
      </w:r>
      <w:r>
        <w:rPr>
          <w:rFonts w:hint="default" w:ascii="Arial" w:hAnsi="Arial" w:eastAsia="宋体" w:cs="Arial"/>
          <w:sz w:val="20"/>
          <w:szCs w:val="21"/>
        </w:rPr>
        <w:t xml:space="preserve">UE collects training data and transfers it to OAM. OAM transfers the training data to the server for data collection for UE-side model training/OTT server. </w:t>
      </w:r>
    </w:p>
    <w:bookmarkEnd w:id="0"/>
    <w:p w14:paraId="045AEA43">
      <w:pPr>
        <w:numPr>
          <w:ilvl w:val="0"/>
          <w:numId w:val="0"/>
        </w:numPr>
        <w:spacing w:before="120" w:beforeLines="50" w:after="120" w:line="260" w:lineRule="exact"/>
        <w:rPr>
          <w:rFonts w:hint="eastAsia" w:ascii="Arial" w:hAnsi="Arial" w:cs="Arial"/>
          <w:b w:val="0"/>
          <w:bCs w:val="0"/>
          <w:sz w:val="20"/>
          <w:szCs w:val="20"/>
          <w:highlight w:val="yellow"/>
          <w:lang w:val="en-US" w:eastAsia="zh-CN"/>
        </w:rPr>
      </w:pPr>
      <w:r>
        <w:rPr>
          <w:rFonts w:hint="eastAsia" w:ascii="Arial" w:hAnsi="Arial" w:cs="Arial"/>
          <w:b w:val="0"/>
          <w:bCs w:val="0"/>
          <w:sz w:val="20"/>
          <w:szCs w:val="20"/>
          <w:lang w:val="en-US" w:eastAsia="zh-CN"/>
        </w:rPr>
        <w:t xml:space="preserve">In RAN#105 meeting, RAN plenary sent a LS [3] on data collection to SA and expected at least SA2 to provide inputs on solution 1b, 2 and 3 by RAN#106. After that, RAN2 will continue to down select among the potential options. </w:t>
      </w:r>
    </w:p>
    <w:p w14:paraId="2FB0674B">
      <w:pPr>
        <w:numPr>
          <w:ilvl w:val="0"/>
          <w:numId w:val="0"/>
        </w:numPr>
        <w:spacing w:before="120" w:beforeLines="50" w:after="120" w:line="260" w:lineRule="exact"/>
        <w:rPr>
          <w:rFonts w:hint="eastAsia" w:ascii="Arial" w:hAnsi="Arial" w:cs="Arial"/>
          <w:b w:val="0"/>
          <w:sz w:val="20"/>
          <w:szCs w:val="20"/>
          <w:highlight w:val="none"/>
          <w:lang w:val="en-US" w:eastAsia="zh-CN"/>
        </w:rPr>
      </w:pPr>
      <w:r>
        <w:rPr>
          <w:rFonts w:hint="default" w:ascii="Arial" w:hAnsi="Arial" w:cs="Arial"/>
          <w:b w:val="0"/>
          <w:sz w:val="20"/>
          <w:szCs w:val="20"/>
          <w:highlight w:val="none"/>
          <w:lang w:val="en-US" w:eastAsia="zh-CN"/>
        </w:rPr>
        <w:t>In last meeting, RAN2 discussed the mechanism for data collecti</w:t>
      </w:r>
      <w:r>
        <w:rPr>
          <w:rFonts w:hint="eastAsia" w:ascii="Arial" w:hAnsi="Arial" w:cs="Arial"/>
          <w:b w:val="0"/>
          <w:sz w:val="20"/>
          <w:szCs w:val="20"/>
          <w:highlight w:val="none"/>
          <w:lang w:val="en-US" w:eastAsia="zh-CN"/>
        </w:rPr>
        <w:t>on</w:t>
      </w:r>
      <w:r>
        <w:rPr>
          <w:rFonts w:hint="default" w:ascii="Arial" w:hAnsi="Arial" w:cs="Arial"/>
          <w:b w:val="0"/>
          <w:sz w:val="20"/>
          <w:szCs w:val="20"/>
          <w:highlight w:val="none"/>
          <w:lang w:val="en-US" w:eastAsia="zh-CN"/>
        </w:rPr>
        <w:t>, and agreed that data collection initiation and configuration for data collection is under network control</w:t>
      </w:r>
      <w:r>
        <w:rPr>
          <w:rFonts w:hint="eastAsia" w:ascii="Arial" w:hAnsi="Arial" w:cs="Arial"/>
          <w:b w:val="0"/>
          <w:sz w:val="20"/>
          <w:szCs w:val="20"/>
          <w:highlight w:val="none"/>
          <w:lang w:val="en-US" w:eastAsia="zh-CN"/>
        </w:rPr>
        <w:t xml:space="preserve">, and </w:t>
      </w:r>
      <w:r>
        <w:rPr>
          <w:rFonts w:hint="default" w:ascii="Arial" w:hAnsi="Arial" w:cs="Arial"/>
          <w:b w:val="0"/>
          <w:sz w:val="20"/>
          <w:szCs w:val="20"/>
          <w:highlight w:val="none"/>
          <w:lang w:val="en-US" w:eastAsia="zh-CN"/>
        </w:rPr>
        <w:t>FFS how the NW determines whether data collection should be initiated (e.g. via UE requests (UE directly or UE server)</w:t>
      </w:r>
      <w:r>
        <w:rPr>
          <w:rFonts w:hint="eastAsia" w:ascii="Arial" w:hAnsi="Arial" w:cs="Arial"/>
          <w:b w:val="0"/>
          <w:sz w:val="20"/>
          <w:szCs w:val="20"/>
          <w:highlight w:val="none"/>
          <w:lang w:val="en-US" w:eastAsia="zh-CN"/>
        </w:rPr>
        <w:t xml:space="preserve">. </w:t>
      </w:r>
    </w:p>
    <w:p w14:paraId="0A053398">
      <w:pPr>
        <w:numPr>
          <w:ilvl w:val="0"/>
          <w:numId w:val="0"/>
        </w:numPr>
        <w:spacing w:before="120" w:beforeLines="50" w:after="120" w:line="260" w:lineRule="exact"/>
        <w:rPr>
          <w:rFonts w:hint="eastAsia" w:ascii="Arial" w:hAnsi="Arial" w:cs="Arial"/>
          <w:b w:val="0"/>
          <w:sz w:val="20"/>
          <w:szCs w:val="20"/>
          <w:lang w:val="en-US" w:eastAsia="zh-CN"/>
        </w:rPr>
      </w:pPr>
      <w:r>
        <w:rPr>
          <w:rFonts w:hint="eastAsia" w:ascii="Arial" w:hAnsi="Arial" w:cs="Arial"/>
          <w:b w:val="0"/>
          <w:sz w:val="20"/>
          <w:szCs w:val="20"/>
          <w:highlight w:val="none"/>
          <w:lang w:val="en-US" w:eastAsia="zh-CN"/>
        </w:rPr>
        <w:t>Since the data for training is terminated in OTT server, we think it is straightforward that OTT server requests which type of data is expected to the network (e.g. CN, OAM, RAN).</w:t>
      </w:r>
      <w:r>
        <w:rPr>
          <w:rFonts w:hint="default" w:ascii="Arial" w:hAnsi="Arial" w:cs="Arial"/>
          <w:b w:val="0"/>
          <w:sz w:val="20"/>
          <w:szCs w:val="20"/>
          <w:lang w:val="en-US" w:eastAsia="zh-CN"/>
        </w:rPr>
        <w:t xml:space="preserve"> </w:t>
      </w:r>
      <w:r>
        <w:rPr>
          <w:rFonts w:hint="eastAsia" w:ascii="Arial" w:hAnsi="Arial" w:cs="Arial"/>
          <w:b w:val="0"/>
          <w:sz w:val="20"/>
          <w:szCs w:val="20"/>
          <w:lang w:val="en-US" w:eastAsia="zh-CN"/>
        </w:rPr>
        <w:t>And then the network will send the configuration to the UE for data collection. We don</w:t>
      </w:r>
      <w:r>
        <w:rPr>
          <w:rFonts w:hint="default" w:ascii="Arial" w:hAnsi="Arial" w:cs="Arial"/>
          <w:b w:val="0"/>
          <w:sz w:val="20"/>
          <w:szCs w:val="20"/>
          <w:lang w:val="en-US" w:eastAsia="zh-CN"/>
        </w:rPr>
        <w:t>’</w:t>
      </w:r>
      <w:r>
        <w:rPr>
          <w:rFonts w:hint="eastAsia" w:ascii="Arial" w:hAnsi="Arial" w:cs="Arial"/>
          <w:b w:val="0"/>
          <w:sz w:val="20"/>
          <w:szCs w:val="20"/>
          <w:lang w:val="en-US" w:eastAsia="zh-CN"/>
        </w:rPr>
        <w:t xml:space="preserve">t see the motivation for UE to request the data collection configuration. </w:t>
      </w:r>
    </w:p>
    <w:p w14:paraId="53B65114">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Proposal 3: OTT server can request which type of data is expected to the network, since the data collection for training is terminated in OTT server.</w:t>
      </w:r>
    </w:p>
    <w:p w14:paraId="055665CF">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val="0"/>
          <w:sz w:val="20"/>
          <w:szCs w:val="20"/>
          <w:lang w:val="en-US" w:eastAsia="zh-CN"/>
        </w:rPr>
        <w:t xml:space="preserve">In our understanding, the network can configure the UE based on UE capability, which is similar to SON/MDT. That is, if the UE supports the data collection for model training, the network can initiate the data collection by transmitting the configuration (e.g. Set A and/or Set B) to the UE and when to initiate is up to network implementation. </w:t>
      </w:r>
    </w:p>
    <w:p w14:paraId="54FBDAE8">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Proposal 4: The network can configure the UE to collect data based on UE capability, and when to initiate data collection is up to network implementation.</w:t>
      </w:r>
    </w:p>
    <w:p w14:paraId="2F19C97C">
      <w:pPr>
        <w:numPr>
          <w:ilvl w:val="0"/>
          <w:numId w:val="0"/>
        </w:numPr>
        <w:spacing w:before="120" w:beforeLines="50" w:after="120" w:line="260" w:lineRule="exact"/>
        <w:rPr>
          <w:rFonts w:hint="eastAsia" w:ascii="Arial" w:hAnsi="Arial" w:cs="Arial"/>
          <w:b/>
          <w:bCs/>
          <w:sz w:val="20"/>
          <w:szCs w:val="20"/>
          <w:lang w:val="en-US" w:eastAsia="zh-CN"/>
        </w:rPr>
      </w:pPr>
    </w:p>
    <w:p w14:paraId="37A6ABD4">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3D67037D">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Here are the</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LCM for UE-sided model for beam management</w:t>
      </w:r>
      <w:r>
        <w:rPr>
          <w:rFonts w:ascii="Arial" w:hAnsi="Arial" w:eastAsia="宋体" w:cs="Arial"/>
          <w:kern w:val="0"/>
          <w:sz w:val="20"/>
          <w:szCs w:val="20"/>
          <w:lang w:val="en-GB" w:eastAsia="en-US"/>
        </w:rPr>
        <w:t>.</w:t>
      </w:r>
    </w:p>
    <w:p w14:paraId="2359DE00">
      <w:pPr>
        <w:pStyle w:val="9"/>
        <w:spacing w:before="120" w:beforeLines="50" w:after="120" w:line="260" w:lineRule="exact"/>
        <w:ind w:leftChars="0"/>
        <w:rPr>
          <w:rFonts w:hint="eastAsia" w:ascii="Arial" w:hAnsi="Arial" w:cs="Arial"/>
          <w:b/>
          <w:bCs/>
          <w:i/>
          <w:iCs/>
          <w:sz w:val="20"/>
          <w:szCs w:val="20"/>
          <w:u w:val="single"/>
          <w:lang w:val="en-US" w:eastAsia="zh-CN"/>
        </w:rPr>
      </w:pPr>
      <w:r>
        <w:rPr>
          <w:rFonts w:hint="eastAsia" w:ascii="Arial" w:hAnsi="Arial" w:cs="Arial"/>
          <w:b/>
          <w:bCs/>
          <w:i/>
          <w:iCs/>
          <w:sz w:val="20"/>
          <w:szCs w:val="20"/>
          <w:u w:val="single"/>
          <w:lang w:val="en-US" w:eastAsia="zh-CN"/>
        </w:rPr>
        <w:t>Applicable functionality reporting</w:t>
      </w:r>
    </w:p>
    <w:p w14:paraId="36662F99">
      <w:pPr>
        <w:pStyle w:val="9"/>
        <w:spacing w:before="120" w:beforeLines="50" w:after="120" w:line="260" w:lineRule="exact"/>
        <w:ind w:leftChars="0"/>
        <w:rPr>
          <w:rFonts w:hint="eastAsia" w:ascii="Arial" w:hAnsi="Arial" w:cs="Arial"/>
          <w:b/>
          <w:bCs/>
          <w:sz w:val="20"/>
          <w:szCs w:val="22"/>
          <w:lang w:val="en-US" w:eastAsia="zh-CN"/>
        </w:rPr>
      </w:pPr>
      <w:r>
        <w:rPr>
          <w:rFonts w:hint="eastAsia" w:ascii="Arial" w:hAnsi="Arial" w:cs="Arial"/>
          <w:b/>
          <w:bCs/>
          <w:sz w:val="20"/>
          <w:szCs w:val="22"/>
          <w:lang w:val="en-US" w:eastAsia="zh-CN"/>
        </w:rPr>
        <w:t xml:space="preserve">Proposal 1: </w:t>
      </w:r>
      <w:r>
        <w:rPr>
          <w:rFonts w:hint="eastAsia" w:ascii="Arial" w:hAnsi="Arial" w:cs="Arial"/>
          <w:b/>
          <w:bCs/>
          <w:sz w:val="20"/>
          <w:szCs w:val="20"/>
          <w:lang w:val="en-US" w:eastAsia="zh-CN"/>
        </w:rPr>
        <w:t>There is no need to signal non-applicable functionality to the network, since it can be indicated implicitly based on applicable functionality and supported functionality reported by UE.</w:t>
      </w:r>
      <w:r>
        <w:rPr>
          <w:rFonts w:hint="eastAsia" w:ascii="Arial" w:hAnsi="Arial" w:cs="Arial"/>
          <w:b/>
          <w:bCs/>
          <w:sz w:val="20"/>
          <w:szCs w:val="22"/>
          <w:lang w:val="en-US" w:eastAsia="zh-CN"/>
        </w:rPr>
        <w:t xml:space="preserve"> </w:t>
      </w:r>
    </w:p>
    <w:p w14:paraId="75A96723">
      <w:pPr>
        <w:pStyle w:val="9"/>
        <w:spacing w:before="120" w:beforeLines="50" w:after="120" w:line="260" w:lineRule="exact"/>
        <w:ind w:leftChars="0"/>
        <w:rPr>
          <w:rFonts w:hint="default" w:ascii="Arial" w:hAnsi="Arial" w:cs="Arial"/>
          <w:b/>
          <w:bCs/>
          <w:i/>
          <w:iCs/>
          <w:sz w:val="20"/>
          <w:szCs w:val="20"/>
          <w:u w:val="single"/>
          <w:lang w:val="en-US" w:eastAsia="zh-CN"/>
        </w:rPr>
      </w:pPr>
      <w:r>
        <w:rPr>
          <w:rFonts w:hint="eastAsia" w:ascii="Arial" w:hAnsi="Arial" w:cs="Arial"/>
          <w:b/>
          <w:bCs/>
          <w:i/>
          <w:iCs/>
          <w:sz w:val="20"/>
          <w:szCs w:val="20"/>
          <w:u w:val="single"/>
          <w:lang w:val="en-US" w:eastAsia="zh-CN"/>
        </w:rPr>
        <w:t>Functionality identification</w:t>
      </w:r>
    </w:p>
    <w:p w14:paraId="75A804C3">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b/>
          <w:bCs/>
          <w:sz w:val="20"/>
          <w:szCs w:val="22"/>
          <w:lang w:val="en-US" w:eastAsia="zh-CN"/>
        </w:rPr>
      </w:pPr>
      <w:r>
        <w:rPr>
          <w:rFonts w:hint="eastAsia" w:ascii="Arial" w:hAnsi="Arial" w:cs="Arial"/>
          <w:b/>
          <w:bCs/>
          <w:sz w:val="20"/>
          <w:szCs w:val="22"/>
          <w:lang w:val="en-US" w:eastAsia="zh-CN"/>
        </w:rPr>
        <w:t xml:space="preserve">Proposal 2: There is no need to introduce the definition and procedure for functionality identification since it is achieved in UE capability reporting (i.e. step1/2 of applicable functionality reporting). </w:t>
      </w:r>
    </w:p>
    <w:p w14:paraId="01F9015C">
      <w:pPr>
        <w:pStyle w:val="9"/>
        <w:spacing w:before="120" w:beforeLines="50" w:after="120" w:line="260" w:lineRule="exact"/>
        <w:ind w:leftChars="0"/>
        <w:rPr>
          <w:rFonts w:hint="eastAsia" w:ascii="Arial" w:hAnsi="Arial" w:cs="Arial"/>
          <w:b/>
          <w:bCs/>
          <w:i/>
          <w:iCs/>
          <w:sz w:val="20"/>
          <w:szCs w:val="20"/>
          <w:u w:val="single"/>
          <w:lang w:val="en-US" w:eastAsia="zh-CN"/>
        </w:rPr>
      </w:pPr>
      <w:r>
        <w:rPr>
          <w:rFonts w:hint="eastAsia" w:ascii="Arial" w:hAnsi="Arial" w:cs="Arial"/>
          <w:b/>
          <w:bCs/>
          <w:i/>
          <w:iCs/>
          <w:sz w:val="20"/>
          <w:szCs w:val="20"/>
          <w:u w:val="single"/>
          <w:lang w:val="en-US" w:eastAsia="zh-CN"/>
        </w:rPr>
        <w:t>Data collection for training</w:t>
      </w:r>
    </w:p>
    <w:p w14:paraId="42FD2B5F">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Proposal 3: OTT server can request which type of data is expected to the network, since the data collection for training is terminated in OTT server.</w:t>
      </w:r>
    </w:p>
    <w:p w14:paraId="25D23EB7">
      <w:pPr>
        <w:pStyle w:val="9"/>
        <w:spacing w:before="120" w:beforeLines="50" w:after="120" w:line="260" w:lineRule="exact"/>
        <w:ind w:leftChars="0"/>
        <w:rPr>
          <w:rFonts w:hint="eastAsia" w:ascii="Arial" w:hAnsi="Arial" w:cs="Arial"/>
          <w:b/>
          <w:bCs/>
          <w:sz w:val="20"/>
          <w:szCs w:val="20"/>
          <w:lang w:val="en-US" w:eastAsia="zh-CN"/>
        </w:rPr>
      </w:pPr>
      <w:r>
        <w:rPr>
          <w:rFonts w:hint="eastAsia" w:ascii="Arial" w:hAnsi="Arial" w:cs="Arial"/>
          <w:b/>
          <w:bCs/>
          <w:sz w:val="20"/>
          <w:szCs w:val="20"/>
          <w:lang w:val="en-US" w:eastAsia="zh-CN"/>
        </w:rPr>
        <w:t>Proposal 4: The network can configure the UE to collect data based on UE capability, and when to initiate data collection is up to network implementation.</w:t>
      </w:r>
    </w:p>
    <w:p w14:paraId="75F0D97D">
      <w:pPr>
        <w:pStyle w:val="9"/>
        <w:spacing w:before="120" w:beforeLines="50" w:after="120" w:line="260" w:lineRule="exact"/>
        <w:ind w:leftChars="0"/>
        <w:rPr>
          <w:rFonts w:hint="eastAsia" w:ascii="Arial" w:hAnsi="Arial" w:cs="Arial"/>
          <w:b/>
          <w:bCs/>
          <w:sz w:val="20"/>
          <w:szCs w:val="20"/>
          <w:lang w:val="en-US" w:eastAsia="zh-CN"/>
        </w:rPr>
      </w:pPr>
    </w:p>
    <w:p w14:paraId="793C40C1">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6399B016">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w:t>
      </w:r>
      <w:r>
        <w:rPr>
          <w:rFonts w:hint="eastAsia" w:ascii="Arial" w:hAnsi="Arial" w:eastAsia="宋体" w:cs="Arial"/>
          <w:kern w:val="0"/>
          <w:sz w:val="20"/>
          <w:szCs w:val="20"/>
          <w:lang w:val="en-US" w:eastAsia="zh-CN"/>
        </w:rPr>
        <w:t>7bis</w:t>
      </w:r>
      <w:r>
        <w:rPr>
          <w:rFonts w:hint="eastAsia" w:ascii="Arial" w:hAnsi="Arial" w:eastAsia="宋体" w:cs="Arial"/>
          <w:kern w:val="0"/>
          <w:sz w:val="20"/>
          <w:szCs w:val="20"/>
          <w:lang w:val="en-GB" w:eastAsia="en-US"/>
        </w:rPr>
        <w:t>_Meeting_Report_v</w:t>
      </w:r>
      <w:r>
        <w:rPr>
          <w:rFonts w:hint="eastAsia" w:ascii="Arial" w:hAnsi="Arial" w:eastAsia="宋体" w:cs="Arial"/>
          <w:kern w:val="0"/>
          <w:sz w:val="20"/>
          <w:szCs w:val="20"/>
          <w:lang w:val="en-US" w:eastAsia="zh-CN"/>
        </w:rPr>
        <w:t>1</w:t>
      </w:r>
    </w:p>
    <w:p w14:paraId="5E70DF57">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rPr>
        <w:t>TR 38.843 Study on Artificial Intelligence (AI)/Machine Learning (ML) for NR air interface</w:t>
      </w:r>
    </w:p>
    <w:p w14:paraId="5607344D">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rPr>
        <w:t>RP-242389</w:t>
      </w:r>
      <w:r>
        <w:rPr>
          <w:rFonts w:hint="eastAsia" w:ascii="Arial" w:hAnsi="Arial" w:eastAsia="宋体" w:cs="Arial"/>
          <w:kern w:val="0"/>
          <w:sz w:val="20"/>
          <w:szCs w:val="20"/>
          <w:lang w:val="en-US" w:eastAsia="zh-CN"/>
        </w:rPr>
        <w:t xml:space="preserve"> LS on AIML data collection To:</w:t>
      </w:r>
      <w:r>
        <w:rPr>
          <w:rFonts w:hint="eastAsia" w:ascii="Arial" w:hAnsi="Arial" w:eastAsia="宋体" w:cs="Arial"/>
          <w:kern w:val="0"/>
          <w:sz w:val="20"/>
          <w:szCs w:val="20"/>
          <w:lang w:val="en-US" w:eastAsia="zh-CN"/>
        </w:rPr>
        <w:tab/>
      </w:r>
      <w:r>
        <w:rPr>
          <w:rFonts w:hint="eastAsia" w:ascii="Arial" w:hAnsi="Arial" w:eastAsia="宋体" w:cs="Arial"/>
          <w:kern w:val="0"/>
          <w:sz w:val="20"/>
          <w:szCs w:val="20"/>
          <w:lang w:val="en-US" w:eastAsia="zh-CN"/>
        </w:rPr>
        <w:t xml:space="preserve">TSG SA, WG SA2, WG SA3, WG SA5 </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B967824"/>
    <w:multiLevelType w:val="multilevel"/>
    <w:tmpl w:val="1B967824"/>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50BED944"/>
    <w:multiLevelType w:val="singleLevel"/>
    <w:tmpl w:val="50BED944"/>
    <w:lvl w:ilvl="0" w:tentative="0">
      <w:start w:val="1"/>
      <w:numFmt w:val="decimal"/>
      <w:lvlText w:val="%1"/>
      <w:lvlJc w:val="left"/>
    </w:lvl>
  </w:abstractNum>
  <w:abstractNum w:abstractNumId="6">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0"/>
  </w:num>
  <w:num w:numId="3">
    <w:abstractNumId w:val="7"/>
  </w:num>
  <w:num w:numId="4">
    <w:abstractNumId w:val="6"/>
  </w:num>
  <w:num w:numId="5">
    <w:abstractNumId w:val="5"/>
  </w:num>
  <w:num w:numId="6">
    <w:abstractNumId w:val="1"/>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A15BE"/>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A2F29"/>
    <w:rsid w:val="005C3989"/>
    <w:rsid w:val="005E7E07"/>
    <w:rsid w:val="006100C7"/>
    <w:rsid w:val="00610B28"/>
    <w:rsid w:val="006743B8"/>
    <w:rsid w:val="00680623"/>
    <w:rsid w:val="006A4FB5"/>
    <w:rsid w:val="006B0BFB"/>
    <w:rsid w:val="006D1DA8"/>
    <w:rsid w:val="006F2C45"/>
    <w:rsid w:val="006F304E"/>
    <w:rsid w:val="0074611C"/>
    <w:rsid w:val="007750BC"/>
    <w:rsid w:val="007A2ADF"/>
    <w:rsid w:val="007B28E6"/>
    <w:rsid w:val="007E3904"/>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E00C78"/>
    <w:rsid w:val="00E513DD"/>
    <w:rsid w:val="00E82408"/>
    <w:rsid w:val="00ED7569"/>
    <w:rsid w:val="00ED765C"/>
    <w:rsid w:val="00EF5EE1"/>
    <w:rsid w:val="00F02DFE"/>
    <w:rsid w:val="00F05AB0"/>
    <w:rsid w:val="00F0760F"/>
    <w:rsid w:val="00F33D13"/>
    <w:rsid w:val="00F47D8B"/>
    <w:rsid w:val="00F50B60"/>
    <w:rsid w:val="00F627D0"/>
    <w:rsid w:val="00F841B6"/>
    <w:rsid w:val="00F92EA1"/>
    <w:rsid w:val="00FE674B"/>
    <w:rsid w:val="01041DE1"/>
    <w:rsid w:val="016C5974"/>
    <w:rsid w:val="016E658B"/>
    <w:rsid w:val="01763BCE"/>
    <w:rsid w:val="01840FB9"/>
    <w:rsid w:val="01893B84"/>
    <w:rsid w:val="01A0498E"/>
    <w:rsid w:val="01A574CF"/>
    <w:rsid w:val="01A60C1B"/>
    <w:rsid w:val="01D3030E"/>
    <w:rsid w:val="01DC09D2"/>
    <w:rsid w:val="01E966BF"/>
    <w:rsid w:val="02002EF1"/>
    <w:rsid w:val="02042EE5"/>
    <w:rsid w:val="02395107"/>
    <w:rsid w:val="024029EF"/>
    <w:rsid w:val="028320CF"/>
    <w:rsid w:val="029B08C6"/>
    <w:rsid w:val="02A424C3"/>
    <w:rsid w:val="02B71025"/>
    <w:rsid w:val="02F44A56"/>
    <w:rsid w:val="02FA6D08"/>
    <w:rsid w:val="0300491B"/>
    <w:rsid w:val="030E32B0"/>
    <w:rsid w:val="03190295"/>
    <w:rsid w:val="03280770"/>
    <w:rsid w:val="03874881"/>
    <w:rsid w:val="03877AE8"/>
    <w:rsid w:val="038A1F16"/>
    <w:rsid w:val="04024C95"/>
    <w:rsid w:val="041A101A"/>
    <w:rsid w:val="042E28C7"/>
    <w:rsid w:val="04861CA0"/>
    <w:rsid w:val="049973F4"/>
    <w:rsid w:val="049D4FC2"/>
    <w:rsid w:val="04A12BB9"/>
    <w:rsid w:val="04A37BF0"/>
    <w:rsid w:val="04F25DBA"/>
    <w:rsid w:val="04F46CEE"/>
    <w:rsid w:val="04FD5053"/>
    <w:rsid w:val="05317C81"/>
    <w:rsid w:val="0535282D"/>
    <w:rsid w:val="053C5EF4"/>
    <w:rsid w:val="054134AD"/>
    <w:rsid w:val="05570B15"/>
    <w:rsid w:val="056C27CB"/>
    <w:rsid w:val="0571089C"/>
    <w:rsid w:val="058844D8"/>
    <w:rsid w:val="05A625A8"/>
    <w:rsid w:val="05AD7C3D"/>
    <w:rsid w:val="05B81468"/>
    <w:rsid w:val="05B92B80"/>
    <w:rsid w:val="05CC288F"/>
    <w:rsid w:val="05FB3716"/>
    <w:rsid w:val="061355E6"/>
    <w:rsid w:val="064F5C41"/>
    <w:rsid w:val="067054D9"/>
    <w:rsid w:val="067C1A37"/>
    <w:rsid w:val="069766D8"/>
    <w:rsid w:val="06C73D4E"/>
    <w:rsid w:val="06C7558E"/>
    <w:rsid w:val="06D76F03"/>
    <w:rsid w:val="06DA676D"/>
    <w:rsid w:val="06EA3869"/>
    <w:rsid w:val="06EB297F"/>
    <w:rsid w:val="06F44776"/>
    <w:rsid w:val="070A46CE"/>
    <w:rsid w:val="071830B3"/>
    <w:rsid w:val="07232B13"/>
    <w:rsid w:val="072E12A5"/>
    <w:rsid w:val="072E4FA9"/>
    <w:rsid w:val="07554650"/>
    <w:rsid w:val="075F5104"/>
    <w:rsid w:val="079F7BD5"/>
    <w:rsid w:val="07CC0B7F"/>
    <w:rsid w:val="07E678A9"/>
    <w:rsid w:val="080B0E60"/>
    <w:rsid w:val="08241B14"/>
    <w:rsid w:val="08346E32"/>
    <w:rsid w:val="084F3982"/>
    <w:rsid w:val="08566507"/>
    <w:rsid w:val="0870581B"/>
    <w:rsid w:val="08BD2F14"/>
    <w:rsid w:val="08D80E0C"/>
    <w:rsid w:val="09085B92"/>
    <w:rsid w:val="09143645"/>
    <w:rsid w:val="093223D0"/>
    <w:rsid w:val="09414F75"/>
    <w:rsid w:val="094470AB"/>
    <w:rsid w:val="09554A11"/>
    <w:rsid w:val="095A6DFD"/>
    <w:rsid w:val="09926330"/>
    <w:rsid w:val="09AD7F7C"/>
    <w:rsid w:val="09B92009"/>
    <w:rsid w:val="09C411E9"/>
    <w:rsid w:val="09D63199"/>
    <w:rsid w:val="09F124DC"/>
    <w:rsid w:val="09F8719E"/>
    <w:rsid w:val="0A0C3321"/>
    <w:rsid w:val="0A0C359D"/>
    <w:rsid w:val="0A103B20"/>
    <w:rsid w:val="0A1469F1"/>
    <w:rsid w:val="0A173D8A"/>
    <w:rsid w:val="0A2E773B"/>
    <w:rsid w:val="0A6E0808"/>
    <w:rsid w:val="0AA35EAE"/>
    <w:rsid w:val="0AA412DD"/>
    <w:rsid w:val="0AAC7074"/>
    <w:rsid w:val="0AB622D1"/>
    <w:rsid w:val="0ADE2342"/>
    <w:rsid w:val="0AE21792"/>
    <w:rsid w:val="0AF33383"/>
    <w:rsid w:val="0AFA4AC7"/>
    <w:rsid w:val="0AFD0EBC"/>
    <w:rsid w:val="0B054A96"/>
    <w:rsid w:val="0B11078A"/>
    <w:rsid w:val="0B1B28B6"/>
    <w:rsid w:val="0B7B639C"/>
    <w:rsid w:val="0B7E67EB"/>
    <w:rsid w:val="0B96175E"/>
    <w:rsid w:val="0BB30DB5"/>
    <w:rsid w:val="0BB81E48"/>
    <w:rsid w:val="0BD639B6"/>
    <w:rsid w:val="0BE427FA"/>
    <w:rsid w:val="0BF550E1"/>
    <w:rsid w:val="0C202296"/>
    <w:rsid w:val="0C415301"/>
    <w:rsid w:val="0C4853AF"/>
    <w:rsid w:val="0C5466CF"/>
    <w:rsid w:val="0C6C1EE0"/>
    <w:rsid w:val="0C6D2AE5"/>
    <w:rsid w:val="0C7F3E15"/>
    <w:rsid w:val="0C8344BF"/>
    <w:rsid w:val="0CA51952"/>
    <w:rsid w:val="0CC05689"/>
    <w:rsid w:val="0CD5224C"/>
    <w:rsid w:val="0CE47224"/>
    <w:rsid w:val="0CED527E"/>
    <w:rsid w:val="0D0D463A"/>
    <w:rsid w:val="0D362C45"/>
    <w:rsid w:val="0D5F0F66"/>
    <w:rsid w:val="0D6C40D7"/>
    <w:rsid w:val="0D711EBE"/>
    <w:rsid w:val="0D771EA7"/>
    <w:rsid w:val="0D8E7D4D"/>
    <w:rsid w:val="0DA728AC"/>
    <w:rsid w:val="0DAD175B"/>
    <w:rsid w:val="0DE11C21"/>
    <w:rsid w:val="0DE14E46"/>
    <w:rsid w:val="0E173F17"/>
    <w:rsid w:val="0E232E17"/>
    <w:rsid w:val="0E3D4FDF"/>
    <w:rsid w:val="0E4A09D7"/>
    <w:rsid w:val="0E554683"/>
    <w:rsid w:val="0E56201A"/>
    <w:rsid w:val="0E6E3C34"/>
    <w:rsid w:val="0EAF327B"/>
    <w:rsid w:val="0ECE6830"/>
    <w:rsid w:val="0F1D748A"/>
    <w:rsid w:val="0F3701CB"/>
    <w:rsid w:val="0F4E079B"/>
    <w:rsid w:val="0F732504"/>
    <w:rsid w:val="0F782620"/>
    <w:rsid w:val="0F8A7784"/>
    <w:rsid w:val="0F8C51E0"/>
    <w:rsid w:val="0FA82F44"/>
    <w:rsid w:val="0FC803F4"/>
    <w:rsid w:val="10090A65"/>
    <w:rsid w:val="1052615E"/>
    <w:rsid w:val="105502AF"/>
    <w:rsid w:val="108B22CD"/>
    <w:rsid w:val="10AC6F3F"/>
    <w:rsid w:val="10C31C47"/>
    <w:rsid w:val="10C64AE7"/>
    <w:rsid w:val="10C761F4"/>
    <w:rsid w:val="10F04644"/>
    <w:rsid w:val="110171B2"/>
    <w:rsid w:val="11171B9A"/>
    <w:rsid w:val="111F30A5"/>
    <w:rsid w:val="11900A86"/>
    <w:rsid w:val="119B1CE5"/>
    <w:rsid w:val="11B90EBA"/>
    <w:rsid w:val="11D44799"/>
    <w:rsid w:val="11D65F4E"/>
    <w:rsid w:val="11E4251C"/>
    <w:rsid w:val="11E53066"/>
    <w:rsid w:val="1236016D"/>
    <w:rsid w:val="123900DB"/>
    <w:rsid w:val="123B6254"/>
    <w:rsid w:val="12587198"/>
    <w:rsid w:val="1271386C"/>
    <w:rsid w:val="1290495A"/>
    <w:rsid w:val="12934DEA"/>
    <w:rsid w:val="12A73823"/>
    <w:rsid w:val="12B04029"/>
    <w:rsid w:val="12BD5E5F"/>
    <w:rsid w:val="12DA4242"/>
    <w:rsid w:val="130A48C3"/>
    <w:rsid w:val="132303DD"/>
    <w:rsid w:val="1331496D"/>
    <w:rsid w:val="13392934"/>
    <w:rsid w:val="13583AE1"/>
    <w:rsid w:val="1358580E"/>
    <w:rsid w:val="135A6265"/>
    <w:rsid w:val="136A73BB"/>
    <w:rsid w:val="139327D8"/>
    <w:rsid w:val="13A46671"/>
    <w:rsid w:val="13D36FA4"/>
    <w:rsid w:val="13FC7CCB"/>
    <w:rsid w:val="14256000"/>
    <w:rsid w:val="143F0C8B"/>
    <w:rsid w:val="1466786F"/>
    <w:rsid w:val="14964725"/>
    <w:rsid w:val="14A668A4"/>
    <w:rsid w:val="14A9029F"/>
    <w:rsid w:val="14B83431"/>
    <w:rsid w:val="14E836E8"/>
    <w:rsid w:val="14F142C3"/>
    <w:rsid w:val="150B6FBF"/>
    <w:rsid w:val="1511444B"/>
    <w:rsid w:val="15185C1A"/>
    <w:rsid w:val="152B1104"/>
    <w:rsid w:val="15360ADA"/>
    <w:rsid w:val="154A66B0"/>
    <w:rsid w:val="159C7EDD"/>
    <w:rsid w:val="15BE553B"/>
    <w:rsid w:val="15E03E14"/>
    <w:rsid w:val="15E4550B"/>
    <w:rsid w:val="15E9482E"/>
    <w:rsid w:val="161147C5"/>
    <w:rsid w:val="16327956"/>
    <w:rsid w:val="166A7A3B"/>
    <w:rsid w:val="16725680"/>
    <w:rsid w:val="168A3E14"/>
    <w:rsid w:val="168B0BBD"/>
    <w:rsid w:val="16A3322F"/>
    <w:rsid w:val="16C120B7"/>
    <w:rsid w:val="16CD3708"/>
    <w:rsid w:val="16D51B5B"/>
    <w:rsid w:val="16D7712F"/>
    <w:rsid w:val="1725136A"/>
    <w:rsid w:val="174B60F1"/>
    <w:rsid w:val="17916AE6"/>
    <w:rsid w:val="179D12F3"/>
    <w:rsid w:val="17AE49E6"/>
    <w:rsid w:val="17CD5A7B"/>
    <w:rsid w:val="18035F6A"/>
    <w:rsid w:val="184B1F38"/>
    <w:rsid w:val="185C58E1"/>
    <w:rsid w:val="186366A3"/>
    <w:rsid w:val="187A66B9"/>
    <w:rsid w:val="1881324F"/>
    <w:rsid w:val="18A246AF"/>
    <w:rsid w:val="18AC4909"/>
    <w:rsid w:val="18F32680"/>
    <w:rsid w:val="18F80417"/>
    <w:rsid w:val="18FE1274"/>
    <w:rsid w:val="192F165F"/>
    <w:rsid w:val="194C32DF"/>
    <w:rsid w:val="195E3B99"/>
    <w:rsid w:val="196E4FB3"/>
    <w:rsid w:val="19C51AEA"/>
    <w:rsid w:val="19CE1BFF"/>
    <w:rsid w:val="19D951ED"/>
    <w:rsid w:val="1A1C0B7B"/>
    <w:rsid w:val="1A323A0D"/>
    <w:rsid w:val="1A40430B"/>
    <w:rsid w:val="1A4C49E1"/>
    <w:rsid w:val="1A7D140B"/>
    <w:rsid w:val="1A9A126F"/>
    <w:rsid w:val="1AA4601E"/>
    <w:rsid w:val="1ABB3621"/>
    <w:rsid w:val="1ABF7C53"/>
    <w:rsid w:val="1ADE6206"/>
    <w:rsid w:val="1AE7452F"/>
    <w:rsid w:val="1B073464"/>
    <w:rsid w:val="1B176DAE"/>
    <w:rsid w:val="1B5E2B2B"/>
    <w:rsid w:val="1B724BD8"/>
    <w:rsid w:val="1B9E2247"/>
    <w:rsid w:val="1BB22919"/>
    <w:rsid w:val="1BF91505"/>
    <w:rsid w:val="1BFC2067"/>
    <w:rsid w:val="1C064DE2"/>
    <w:rsid w:val="1C263D41"/>
    <w:rsid w:val="1C6673DB"/>
    <w:rsid w:val="1C6A1BB2"/>
    <w:rsid w:val="1C726F5B"/>
    <w:rsid w:val="1C7B60E4"/>
    <w:rsid w:val="1C87732E"/>
    <w:rsid w:val="1CC529AF"/>
    <w:rsid w:val="1CC914E2"/>
    <w:rsid w:val="1CD81789"/>
    <w:rsid w:val="1D031FA5"/>
    <w:rsid w:val="1D1D27D2"/>
    <w:rsid w:val="1D4D1FA4"/>
    <w:rsid w:val="1D700D25"/>
    <w:rsid w:val="1DA1677A"/>
    <w:rsid w:val="1DA90A2F"/>
    <w:rsid w:val="1DB26D48"/>
    <w:rsid w:val="1DC07338"/>
    <w:rsid w:val="1DCD1090"/>
    <w:rsid w:val="1DE55E1B"/>
    <w:rsid w:val="1DEA2636"/>
    <w:rsid w:val="1E015BFF"/>
    <w:rsid w:val="1E0717B3"/>
    <w:rsid w:val="1E261FEC"/>
    <w:rsid w:val="1E5D014C"/>
    <w:rsid w:val="1E5E36D4"/>
    <w:rsid w:val="1E625159"/>
    <w:rsid w:val="1E6C052F"/>
    <w:rsid w:val="1E8017FF"/>
    <w:rsid w:val="1E8A1312"/>
    <w:rsid w:val="1EB31B66"/>
    <w:rsid w:val="1EB529F8"/>
    <w:rsid w:val="1EBC2F21"/>
    <w:rsid w:val="1EDA06DF"/>
    <w:rsid w:val="1EE73F05"/>
    <w:rsid w:val="1EF17AB3"/>
    <w:rsid w:val="1EFA50FC"/>
    <w:rsid w:val="1F1E6BD2"/>
    <w:rsid w:val="1F1F4D17"/>
    <w:rsid w:val="1F27275C"/>
    <w:rsid w:val="1F8A3BD5"/>
    <w:rsid w:val="1FE63CE8"/>
    <w:rsid w:val="201646BB"/>
    <w:rsid w:val="20254C14"/>
    <w:rsid w:val="203F22FB"/>
    <w:rsid w:val="205E7BE3"/>
    <w:rsid w:val="207A2C6F"/>
    <w:rsid w:val="208A18F1"/>
    <w:rsid w:val="208D63E6"/>
    <w:rsid w:val="20A506BA"/>
    <w:rsid w:val="20B65FAF"/>
    <w:rsid w:val="20F63843"/>
    <w:rsid w:val="20FE18B0"/>
    <w:rsid w:val="21376EA4"/>
    <w:rsid w:val="21513A3C"/>
    <w:rsid w:val="215A766D"/>
    <w:rsid w:val="21667FDB"/>
    <w:rsid w:val="2193597C"/>
    <w:rsid w:val="219C1508"/>
    <w:rsid w:val="21A86335"/>
    <w:rsid w:val="21FA5606"/>
    <w:rsid w:val="22046DF1"/>
    <w:rsid w:val="22052B11"/>
    <w:rsid w:val="220A4513"/>
    <w:rsid w:val="227C53D9"/>
    <w:rsid w:val="229575D0"/>
    <w:rsid w:val="2297087C"/>
    <w:rsid w:val="22B32E1B"/>
    <w:rsid w:val="22CD6AE0"/>
    <w:rsid w:val="232C553F"/>
    <w:rsid w:val="236906A5"/>
    <w:rsid w:val="2375481A"/>
    <w:rsid w:val="23797368"/>
    <w:rsid w:val="23822B30"/>
    <w:rsid w:val="238241FC"/>
    <w:rsid w:val="23B06B01"/>
    <w:rsid w:val="23B828A0"/>
    <w:rsid w:val="23C250CF"/>
    <w:rsid w:val="23C640E9"/>
    <w:rsid w:val="23EE120B"/>
    <w:rsid w:val="2403705B"/>
    <w:rsid w:val="24110B80"/>
    <w:rsid w:val="24550B03"/>
    <w:rsid w:val="24572D18"/>
    <w:rsid w:val="24930512"/>
    <w:rsid w:val="249D5D77"/>
    <w:rsid w:val="24B445FB"/>
    <w:rsid w:val="24BD6504"/>
    <w:rsid w:val="24C74F14"/>
    <w:rsid w:val="24CF6FCD"/>
    <w:rsid w:val="24D708E2"/>
    <w:rsid w:val="24FB6730"/>
    <w:rsid w:val="251B6F7E"/>
    <w:rsid w:val="252515BC"/>
    <w:rsid w:val="25787665"/>
    <w:rsid w:val="25826443"/>
    <w:rsid w:val="25F5013E"/>
    <w:rsid w:val="262A1C6D"/>
    <w:rsid w:val="262F627F"/>
    <w:rsid w:val="26315BFD"/>
    <w:rsid w:val="264A4407"/>
    <w:rsid w:val="26537397"/>
    <w:rsid w:val="26590269"/>
    <w:rsid w:val="2660154C"/>
    <w:rsid w:val="26A276B5"/>
    <w:rsid w:val="26BA68C7"/>
    <w:rsid w:val="26BB1824"/>
    <w:rsid w:val="26BF5E40"/>
    <w:rsid w:val="26C01EE7"/>
    <w:rsid w:val="26F237CD"/>
    <w:rsid w:val="2719754A"/>
    <w:rsid w:val="271F0DF6"/>
    <w:rsid w:val="2725126B"/>
    <w:rsid w:val="274C2D2B"/>
    <w:rsid w:val="27743E5C"/>
    <w:rsid w:val="2796594E"/>
    <w:rsid w:val="27BC024E"/>
    <w:rsid w:val="27BE3E87"/>
    <w:rsid w:val="27C17045"/>
    <w:rsid w:val="27C35275"/>
    <w:rsid w:val="283167B4"/>
    <w:rsid w:val="28682A73"/>
    <w:rsid w:val="28806895"/>
    <w:rsid w:val="28985F92"/>
    <w:rsid w:val="289D577F"/>
    <w:rsid w:val="28E404D9"/>
    <w:rsid w:val="28F4407D"/>
    <w:rsid w:val="291138C7"/>
    <w:rsid w:val="29120E51"/>
    <w:rsid w:val="292B321E"/>
    <w:rsid w:val="296C4716"/>
    <w:rsid w:val="29733D9F"/>
    <w:rsid w:val="29A61468"/>
    <w:rsid w:val="29BE37C1"/>
    <w:rsid w:val="29CE3CF8"/>
    <w:rsid w:val="2A2A2E8D"/>
    <w:rsid w:val="2A5039D7"/>
    <w:rsid w:val="2A665688"/>
    <w:rsid w:val="2A7D74CC"/>
    <w:rsid w:val="2A7F4563"/>
    <w:rsid w:val="2AA42E13"/>
    <w:rsid w:val="2AC3696A"/>
    <w:rsid w:val="2ACF09B7"/>
    <w:rsid w:val="2B0C4777"/>
    <w:rsid w:val="2B0F36E3"/>
    <w:rsid w:val="2B3F4C1F"/>
    <w:rsid w:val="2B4D1216"/>
    <w:rsid w:val="2B5215B6"/>
    <w:rsid w:val="2B551B2C"/>
    <w:rsid w:val="2B58393A"/>
    <w:rsid w:val="2B665680"/>
    <w:rsid w:val="2B8030A5"/>
    <w:rsid w:val="2BE06712"/>
    <w:rsid w:val="2BE23A8A"/>
    <w:rsid w:val="2BFA0DD4"/>
    <w:rsid w:val="2C095760"/>
    <w:rsid w:val="2C0D429C"/>
    <w:rsid w:val="2C6E581C"/>
    <w:rsid w:val="2C7A7AA0"/>
    <w:rsid w:val="2CA30589"/>
    <w:rsid w:val="2CE026DB"/>
    <w:rsid w:val="2D146D2C"/>
    <w:rsid w:val="2D155FB3"/>
    <w:rsid w:val="2D3B7B03"/>
    <w:rsid w:val="2D440581"/>
    <w:rsid w:val="2D470656"/>
    <w:rsid w:val="2D493ADC"/>
    <w:rsid w:val="2D493B59"/>
    <w:rsid w:val="2D55451C"/>
    <w:rsid w:val="2D5B158F"/>
    <w:rsid w:val="2D7B5269"/>
    <w:rsid w:val="2DD85F0E"/>
    <w:rsid w:val="2DF144D1"/>
    <w:rsid w:val="2DFB6036"/>
    <w:rsid w:val="2E2A6622"/>
    <w:rsid w:val="2E3472AB"/>
    <w:rsid w:val="2E3D031C"/>
    <w:rsid w:val="2E457026"/>
    <w:rsid w:val="2E843EEA"/>
    <w:rsid w:val="2EA86437"/>
    <w:rsid w:val="2EAF5439"/>
    <w:rsid w:val="2EB103B1"/>
    <w:rsid w:val="2EE13F10"/>
    <w:rsid w:val="2F0F71E6"/>
    <w:rsid w:val="2F383A5C"/>
    <w:rsid w:val="2F4559EE"/>
    <w:rsid w:val="2F742945"/>
    <w:rsid w:val="2F880DEC"/>
    <w:rsid w:val="2F9D4B14"/>
    <w:rsid w:val="2FBE43F5"/>
    <w:rsid w:val="2FC53C32"/>
    <w:rsid w:val="2FC55B9D"/>
    <w:rsid w:val="2FD157C7"/>
    <w:rsid w:val="300A115E"/>
    <w:rsid w:val="301241C3"/>
    <w:rsid w:val="30296BB8"/>
    <w:rsid w:val="304D2729"/>
    <w:rsid w:val="30576C24"/>
    <w:rsid w:val="307945DD"/>
    <w:rsid w:val="30851FC0"/>
    <w:rsid w:val="309D4655"/>
    <w:rsid w:val="30C026F3"/>
    <w:rsid w:val="313409D0"/>
    <w:rsid w:val="314A0092"/>
    <w:rsid w:val="315145A6"/>
    <w:rsid w:val="315423FA"/>
    <w:rsid w:val="315B7AEC"/>
    <w:rsid w:val="31710789"/>
    <w:rsid w:val="317503B0"/>
    <w:rsid w:val="31D53C4D"/>
    <w:rsid w:val="31F2254D"/>
    <w:rsid w:val="31F71A11"/>
    <w:rsid w:val="31FE12AB"/>
    <w:rsid w:val="32051CDA"/>
    <w:rsid w:val="3207261B"/>
    <w:rsid w:val="320A1195"/>
    <w:rsid w:val="320E382B"/>
    <w:rsid w:val="321A185A"/>
    <w:rsid w:val="321B4537"/>
    <w:rsid w:val="32513A45"/>
    <w:rsid w:val="325748A5"/>
    <w:rsid w:val="32B50B2C"/>
    <w:rsid w:val="32B819E9"/>
    <w:rsid w:val="32C84DFE"/>
    <w:rsid w:val="32FA3DAF"/>
    <w:rsid w:val="332122CC"/>
    <w:rsid w:val="332D5F33"/>
    <w:rsid w:val="3337740D"/>
    <w:rsid w:val="337F1035"/>
    <w:rsid w:val="33805DA1"/>
    <w:rsid w:val="338C56E4"/>
    <w:rsid w:val="33934B2E"/>
    <w:rsid w:val="339441CF"/>
    <w:rsid w:val="33974050"/>
    <w:rsid w:val="33C37075"/>
    <w:rsid w:val="33F14779"/>
    <w:rsid w:val="34062C68"/>
    <w:rsid w:val="341C738A"/>
    <w:rsid w:val="344D2E50"/>
    <w:rsid w:val="348F0A80"/>
    <w:rsid w:val="34A26022"/>
    <w:rsid w:val="34B0567F"/>
    <w:rsid w:val="34B443F6"/>
    <w:rsid w:val="34E12F4E"/>
    <w:rsid w:val="34EB31AA"/>
    <w:rsid w:val="34EC41DF"/>
    <w:rsid w:val="34F9043A"/>
    <w:rsid w:val="35040A33"/>
    <w:rsid w:val="351A24AD"/>
    <w:rsid w:val="35273121"/>
    <w:rsid w:val="352B733E"/>
    <w:rsid w:val="354554F5"/>
    <w:rsid w:val="354E123E"/>
    <w:rsid w:val="354F2AD2"/>
    <w:rsid w:val="35566C29"/>
    <w:rsid w:val="359652C0"/>
    <w:rsid w:val="35A9661A"/>
    <w:rsid w:val="35AF552A"/>
    <w:rsid w:val="35C36B07"/>
    <w:rsid w:val="35C60438"/>
    <w:rsid w:val="35EB5C31"/>
    <w:rsid w:val="360D6591"/>
    <w:rsid w:val="361E2AEF"/>
    <w:rsid w:val="361F2C5E"/>
    <w:rsid w:val="363976F7"/>
    <w:rsid w:val="36681B72"/>
    <w:rsid w:val="366B38CD"/>
    <w:rsid w:val="366E68DA"/>
    <w:rsid w:val="367C622B"/>
    <w:rsid w:val="36BD137C"/>
    <w:rsid w:val="36E02E58"/>
    <w:rsid w:val="36F84B57"/>
    <w:rsid w:val="3720190B"/>
    <w:rsid w:val="37293C39"/>
    <w:rsid w:val="37391765"/>
    <w:rsid w:val="3751494E"/>
    <w:rsid w:val="375A24EA"/>
    <w:rsid w:val="37757EA8"/>
    <w:rsid w:val="3784494C"/>
    <w:rsid w:val="37BC00E4"/>
    <w:rsid w:val="37C859C7"/>
    <w:rsid w:val="37D62F7A"/>
    <w:rsid w:val="37E40AE8"/>
    <w:rsid w:val="37FF0329"/>
    <w:rsid w:val="3801173C"/>
    <w:rsid w:val="38060F79"/>
    <w:rsid w:val="381A150A"/>
    <w:rsid w:val="38260B47"/>
    <w:rsid w:val="384E5649"/>
    <w:rsid w:val="38746ABC"/>
    <w:rsid w:val="38761BD7"/>
    <w:rsid w:val="3876347B"/>
    <w:rsid w:val="388D15D1"/>
    <w:rsid w:val="38A710B1"/>
    <w:rsid w:val="38AE69D5"/>
    <w:rsid w:val="38FC0060"/>
    <w:rsid w:val="38FC32F5"/>
    <w:rsid w:val="38FD17EE"/>
    <w:rsid w:val="39030A9D"/>
    <w:rsid w:val="39113643"/>
    <w:rsid w:val="392C4597"/>
    <w:rsid w:val="396866FD"/>
    <w:rsid w:val="397E03C2"/>
    <w:rsid w:val="39AF07AB"/>
    <w:rsid w:val="39BB3AC3"/>
    <w:rsid w:val="39D37108"/>
    <w:rsid w:val="39DF043A"/>
    <w:rsid w:val="39FD73E2"/>
    <w:rsid w:val="39FE32B3"/>
    <w:rsid w:val="39FF59A7"/>
    <w:rsid w:val="3A06128C"/>
    <w:rsid w:val="3A070DC0"/>
    <w:rsid w:val="3A2065C7"/>
    <w:rsid w:val="3A213653"/>
    <w:rsid w:val="3A34378D"/>
    <w:rsid w:val="3A36160B"/>
    <w:rsid w:val="3A5B5BB7"/>
    <w:rsid w:val="3A6F51D2"/>
    <w:rsid w:val="3AA50AA5"/>
    <w:rsid w:val="3AAF1E5A"/>
    <w:rsid w:val="3AD23179"/>
    <w:rsid w:val="3AEB3C21"/>
    <w:rsid w:val="3AEF3713"/>
    <w:rsid w:val="3AFB6043"/>
    <w:rsid w:val="3B041E40"/>
    <w:rsid w:val="3B191C47"/>
    <w:rsid w:val="3B205806"/>
    <w:rsid w:val="3B295FAA"/>
    <w:rsid w:val="3B5C6A72"/>
    <w:rsid w:val="3B7F2CAA"/>
    <w:rsid w:val="3BA515C0"/>
    <w:rsid w:val="3BBB6DF8"/>
    <w:rsid w:val="3BBE6635"/>
    <w:rsid w:val="3BC9431F"/>
    <w:rsid w:val="3C02696E"/>
    <w:rsid w:val="3C1A13DF"/>
    <w:rsid w:val="3C3A4FEB"/>
    <w:rsid w:val="3C4F0EBB"/>
    <w:rsid w:val="3C635FA0"/>
    <w:rsid w:val="3C86519C"/>
    <w:rsid w:val="3C8659AE"/>
    <w:rsid w:val="3CA66A58"/>
    <w:rsid w:val="3CBE3C7C"/>
    <w:rsid w:val="3CD165D4"/>
    <w:rsid w:val="3CE16532"/>
    <w:rsid w:val="3CF316DB"/>
    <w:rsid w:val="3D39355A"/>
    <w:rsid w:val="3D3C44DD"/>
    <w:rsid w:val="3D5001A7"/>
    <w:rsid w:val="3D5B3EF0"/>
    <w:rsid w:val="3D5C58DF"/>
    <w:rsid w:val="3D9214B7"/>
    <w:rsid w:val="3DB23DD9"/>
    <w:rsid w:val="3DBB2FF1"/>
    <w:rsid w:val="3DD8335F"/>
    <w:rsid w:val="3DF57F08"/>
    <w:rsid w:val="3E143052"/>
    <w:rsid w:val="3E3363C7"/>
    <w:rsid w:val="3E390C78"/>
    <w:rsid w:val="3E3B7B31"/>
    <w:rsid w:val="3E500D27"/>
    <w:rsid w:val="3E573ADE"/>
    <w:rsid w:val="3E823552"/>
    <w:rsid w:val="3EA55E90"/>
    <w:rsid w:val="3EB2553E"/>
    <w:rsid w:val="3ECD0998"/>
    <w:rsid w:val="3ED508CA"/>
    <w:rsid w:val="3EE61158"/>
    <w:rsid w:val="3F1109BC"/>
    <w:rsid w:val="3F1B7587"/>
    <w:rsid w:val="3F805B16"/>
    <w:rsid w:val="3FA42170"/>
    <w:rsid w:val="3FAF36DB"/>
    <w:rsid w:val="405759DA"/>
    <w:rsid w:val="406A14B3"/>
    <w:rsid w:val="407C15D8"/>
    <w:rsid w:val="409D1B0D"/>
    <w:rsid w:val="40DA4CF0"/>
    <w:rsid w:val="40F97CA8"/>
    <w:rsid w:val="41171B69"/>
    <w:rsid w:val="41415E9E"/>
    <w:rsid w:val="41883A8E"/>
    <w:rsid w:val="418A60B4"/>
    <w:rsid w:val="418C651A"/>
    <w:rsid w:val="41B370D6"/>
    <w:rsid w:val="41CD260F"/>
    <w:rsid w:val="420A6E97"/>
    <w:rsid w:val="420D439A"/>
    <w:rsid w:val="42212582"/>
    <w:rsid w:val="423F0492"/>
    <w:rsid w:val="42625CA5"/>
    <w:rsid w:val="42755843"/>
    <w:rsid w:val="42794CE2"/>
    <w:rsid w:val="428704C4"/>
    <w:rsid w:val="42C70708"/>
    <w:rsid w:val="42E0254C"/>
    <w:rsid w:val="42F40D67"/>
    <w:rsid w:val="43066FF8"/>
    <w:rsid w:val="43146FF6"/>
    <w:rsid w:val="433204F8"/>
    <w:rsid w:val="433C3AAA"/>
    <w:rsid w:val="4345322A"/>
    <w:rsid w:val="43480F05"/>
    <w:rsid w:val="43580CE8"/>
    <w:rsid w:val="43600192"/>
    <w:rsid w:val="436A056E"/>
    <w:rsid w:val="436F06B1"/>
    <w:rsid w:val="436F598B"/>
    <w:rsid w:val="43964A1C"/>
    <w:rsid w:val="439E341B"/>
    <w:rsid w:val="439F359F"/>
    <w:rsid w:val="43E22B61"/>
    <w:rsid w:val="44031DB9"/>
    <w:rsid w:val="440700DA"/>
    <w:rsid w:val="44166A5A"/>
    <w:rsid w:val="44320857"/>
    <w:rsid w:val="446E0159"/>
    <w:rsid w:val="447943E7"/>
    <w:rsid w:val="44B41FCD"/>
    <w:rsid w:val="44F46625"/>
    <w:rsid w:val="44F52628"/>
    <w:rsid w:val="454C191C"/>
    <w:rsid w:val="4556652D"/>
    <w:rsid w:val="458206CE"/>
    <w:rsid w:val="45846DC9"/>
    <w:rsid w:val="45861251"/>
    <w:rsid w:val="459911EE"/>
    <w:rsid w:val="4599227F"/>
    <w:rsid w:val="45A2455E"/>
    <w:rsid w:val="45BE024B"/>
    <w:rsid w:val="45BE2AD4"/>
    <w:rsid w:val="45C2437E"/>
    <w:rsid w:val="45EA2721"/>
    <w:rsid w:val="460A0745"/>
    <w:rsid w:val="46190E27"/>
    <w:rsid w:val="462128E4"/>
    <w:rsid w:val="46300B95"/>
    <w:rsid w:val="463A3C1C"/>
    <w:rsid w:val="46552F9B"/>
    <w:rsid w:val="466E6ADA"/>
    <w:rsid w:val="46911EDD"/>
    <w:rsid w:val="4699240B"/>
    <w:rsid w:val="46B7014A"/>
    <w:rsid w:val="46ED5CA5"/>
    <w:rsid w:val="46FE4C6E"/>
    <w:rsid w:val="47062AB6"/>
    <w:rsid w:val="471A6376"/>
    <w:rsid w:val="473230A2"/>
    <w:rsid w:val="474B03EA"/>
    <w:rsid w:val="475A659D"/>
    <w:rsid w:val="476207DA"/>
    <w:rsid w:val="47944B93"/>
    <w:rsid w:val="47AA594C"/>
    <w:rsid w:val="47B14EAE"/>
    <w:rsid w:val="47C00B3A"/>
    <w:rsid w:val="47C04462"/>
    <w:rsid w:val="47C96CD1"/>
    <w:rsid w:val="47D84F8A"/>
    <w:rsid w:val="47DB6ABB"/>
    <w:rsid w:val="48083448"/>
    <w:rsid w:val="48460696"/>
    <w:rsid w:val="48690DD9"/>
    <w:rsid w:val="486B54EB"/>
    <w:rsid w:val="4887121F"/>
    <w:rsid w:val="48F702B1"/>
    <w:rsid w:val="492910E2"/>
    <w:rsid w:val="492E569F"/>
    <w:rsid w:val="494B446A"/>
    <w:rsid w:val="494E1C27"/>
    <w:rsid w:val="494E5D48"/>
    <w:rsid w:val="49A36AB0"/>
    <w:rsid w:val="49A97E85"/>
    <w:rsid w:val="49D2118A"/>
    <w:rsid w:val="49D92DDD"/>
    <w:rsid w:val="49EF5321"/>
    <w:rsid w:val="49FC381D"/>
    <w:rsid w:val="4A266DE0"/>
    <w:rsid w:val="4A2A4C7A"/>
    <w:rsid w:val="4A347F6C"/>
    <w:rsid w:val="4A444508"/>
    <w:rsid w:val="4A456A14"/>
    <w:rsid w:val="4A640FBC"/>
    <w:rsid w:val="4A66451F"/>
    <w:rsid w:val="4A78789E"/>
    <w:rsid w:val="4A88728D"/>
    <w:rsid w:val="4A9D0D79"/>
    <w:rsid w:val="4A9D45B8"/>
    <w:rsid w:val="4A9F545E"/>
    <w:rsid w:val="4AAB056F"/>
    <w:rsid w:val="4AB06D26"/>
    <w:rsid w:val="4B08573B"/>
    <w:rsid w:val="4B626F00"/>
    <w:rsid w:val="4BBD1C23"/>
    <w:rsid w:val="4BC53B5B"/>
    <w:rsid w:val="4BE53FE4"/>
    <w:rsid w:val="4C340FD6"/>
    <w:rsid w:val="4C4D4AF8"/>
    <w:rsid w:val="4C744BB3"/>
    <w:rsid w:val="4C851F32"/>
    <w:rsid w:val="4C964045"/>
    <w:rsid w:val="4C9C7CA8"/>
    <w:rsid w:val="4CA30A9C"/>
    <w:rsid w:val="4CD70E50"/>
    <w:rsid w:val="4CDB65A8"/>
    <w:rsid w:val="4CE2366D"/>
    <w:rsid w:val="4D010671"/>
    <w:rsid w:val="4D0526DC"/>
    <w:rsid w:val="4D2812FA"/>
    <w:rsid w:val="4D316B33"/>
    <w:rsid w:val="4D352FBB"/>
    <w:rsid w:val="4D537464"/>
    <w:rsid w:val="4D596D5B"/>
    <w:rsid w:val="4D743D8A"/>
    <w:rsid w:val="4D9549A9"/>
    <w:rsid w:val="4DA96C4E"/>
    <w:rsid w:val="4DF70A62"/>
    <w:rsid w:val="4E0614E3"/>
    <w:rsid w:val="4E116C89"/>
    <w:rsid w:val="4E2452B7"/>
    <w:rsid w:val="4E3F2C74"/>
    <w:rsid w:val="4E695109"/>
    <w:rsid w:val="4E992277"/>
    <w:rsid w:val="4E9C3B92"/>
    <w:rsid w:val="4E9D6524"/>
    <w:rsid w:val="4EAD1AF9"/>
    <w:rsid w:val="4EBB043F"/>
    <w:rsid w:val="4EC73C65"/>
    <w:rsid w:val="4ED713AB"/>
    <w:rsid w:val="4EE23C1E"/>
    <w:rsid w:val="4F1913AC"/>
    <w:rsid w:val="4F4F5A65"/>
    <w:rsid w:val="4F6426A9"/>
    <w:rsid w:val="4F7127A7"/>
    <w:rsid w:val="4F792A76"/>
    <w:rsid w:val="4F7A31F5"/>
    <w:rsid w:val="4F9743B7"/>
    <w:rsid w:val="4FB77179"/>
    <w:rsid w:val="4FB92CDA"/>
    <w:rsid w:val="4FBA6088"/>
    <w:rsid w:val="4FE775A6"/>
    <w:rsid w:val="4FF54231"/>
    <w:rsid w:val="50077447"/>
    <w:rsid w:val="50092979"/>
    <w:rsid w:val="502F4C40"/>
    <w:rsid w:val="50343739"/>
    <w:rsid w:val="50623802"/>
    <w:rsid w:val="50652E94"/>
    <w:rsid w:val="50665370"/>
    <w:rsid w:val="508700F4"/>
    <w:rsid w:val="50A970CD"/>
    <w:rsid w:val="50C72D83"/>
    <w:rsid w:val="50EC664D"/>
    <w:rsid w:val="50F25C6E"/>
    <w:rsid w:val="51031D50"/>
    <w:rsid w:val="5163596F"/>
    <w:rsid w:val="51642065"/>
    <w:rsid w:val="516F0D03"/>
    <w:rsid w:val="51895F2D"/>
    <w:rsid w:val="51A0460E"/>
    <w:rsid w:val="51A60230"/>
    <w:rsid w:val="51A823AB"/>
    <w:rsid w:val="51CC648B"/>
    <w:rsid w:val="51CF7841"/>
    <w:rsid w:val="51E202B2"/>
    <w:rsid w:val="52030FE6"/>
    <w:rsid w:val="52065DA2"/>
    <w:rsid w:val="522E4D5D"/>
    <w:rsid w:val="524A71B5"/>
    <w:rsid w:val="52642695"/>
    <w:rsid w:val="5279373F"/>
    <w:rsid w:val="528B1069"/>
    <w:rsid w:val="528B691A"/>
    <w:rsid w:val="528D5BD8"/>
    <w:rsid w:val="528F0DD4"/>
    <w:rsid w:val="52930D7F"/>
    <w:rsid w:val="5296438C"/>
    <w:rsid w:val="52AB2578"/>
    <w:rsid w:val="530C3017"/>
    <w:rsid w:val="530F2B4C"/>
    <w:rsid w:val="53144C5A"/>
    <w:rsid w:val="532E36AE"/>
    <w:rsid w:val="534327B1"/>
    <w:rsid w:val="53AE0CB6"/>
    <w:rsid w:val="53D170F4"/>
    <w:rsid w:val="541C5C72"/>
    <w:rsid w:val="543B6BDD"/>
    <w:rsid w:val="544F1C50"/>
    <w:rsid w:val="54606A92"/>
    <w:rsid w:val="54611A81"/>
    <w:rsid w:val="54DC110F"/>
    <w:rsid w:val="55236751"/>
    <w:rsid w:val="55654739"/>
    <w:rsid w:val="557D655D"/>
    <w:rsid w:val="55846FDD"/>
    <w:rsid w:val="558933C3"/>
    <w:rsid w:val="558B119A"/>
    <w:rsid w:val="55B177EA"/>
    <w:rsid w:val="55CD48C4"/>
    <w:rsid w:val="55EA33B8"/>
    <w:rsid w:val="55F34392"/>
    <w:rsid w:val="560C425A"/>
    <w:rsid w:val="56116B32"/>
    <w:rsid w:val="562365CA"/>
    <w:rsid w:val="56340430"/>
    <w:rsid w:val="563F6CB5"/>
    <w:rsid w:val="564B6FA5"/>
    <w:rsid w:val="56581D59"/>
    <w:rsid w:val="568502CA"/>
    <w:rsid w:val="5698486D"/>
    <w:rsid w:val="56A874FB"/>
    <w:rsid w:val="56AA23A1"/>
    <w:rsid w:val="56B0773B"/>
    <w:rsid w:val="56C254B7"/>
    <w:rsid w:val="5709588E"/>
    <w:rsid w:val="571760EF"/>
    <w:rsid w:val="571F7ADE"/>
    <w:rsid w:val="576C2C58"/>
    <w:rsid w:val="57792910"/>
    <w:rsid w:val="5781180D"/>
    <w:rsid w:val="579F0027"/>
    <w:rsid w:val="57C77D46"/>
    <w:rsid w:val="57CF4F1B"/>
    <w:rsid w:val="57D065BB"/>
    <w:rsid w:val="58201757"/>
    <w:rsid w:val="58404F46"/>
    <w:rsid w:val="58514364"/>
    <w:rsid w:val="585818C8"/>
    <w:rsid w:val="585D525A"/>
    <w:rsid w:val="58602168"/>
    <w:rsid w:val="5860738B"/>
    <w:rsid w:val="5865048C"/>
    <w:rsid w:val="58A92235"/>
    <w:rsid w:val="58AB4E89"/>
    <w:rsid w:val="58AD7356"/>
    <w:rsid w:val="58B5550E"/>
    <w:rsid w:val="58BD5C76"/>
    <w:rsid w:val="58C11261"/>
    <w:rsid w:val="58C34E9B"/>
    <w:rsid w:val="58CB74D0"/>
    <w:rsid w:val="58D20175"/>
    <w:rsid w:val="58F92C9F"/>
    <w:rsid w:val="59303772"/>
    <w:rsid w:val="59340E0B"/>
    <w:rsid w:val="59AD7B0E"/>
    <w:rsid w:val="59B31815"/>
    <w:rsid w:val="59D55070"/>
    <w:rsid w:val="59DA18AC"/>
    <w:rsid w:val="59E065B2"/>
    <w:rsid w:val="59E546A4"/>
    <w:rsid w:val="59FD6E5D"/>
    <w:rsid w:val="5A2F5AF5"/>
    <w:rsid w:val="5A4439EB"/>
    <w:rsid w:val="5A637B38"/>
    <w:rsid w:val="5A8D1386"/>
    <w:rsid w:val="5A93303B"/>
    <w:rsid w:val="5AAB12E9"/>
    <w:rsid w:val="5ABB6C3C"/>
    <w:rsid w:val="5AC815C0"/>
    <w:rsid w:val="5ACD77B4"/>
    <w:rsid w:val="5AF95FBA"/>
    <w:rsid w:val="5AFF7905"/>
    <w:rsid w:val="5B086319"/>
    <w:rsid w:val="5B1836AE"/>
    <w:rsid w:val="5B310DAB"/>
    <w:rsid w:val="5B326768"/>
    <w:rsid w:val="5B492C91"/>
    <w:rsid w:val="5B563D3F"/>
    <w:rsid w:val="5B5B4DF1"/>
    <w:rsid w:val="5B5E26D5"/>
    <w:rsid w:val="5B6B15AA"/>
    <w:rsid w:val="5B987BF7"/>
    <w:rsid w:val="5BA23173"/>
    <w:rsid w:val="5BAF6495"/>
    <w:rsid w:val="5BDE2F03"/>
    <w:rsid w:val="5BE9290B"/>
    <w:rsid w:val="5BF25754"/>
    <w:rsid w:val="5C1E13B0"/>
    <w:rsid w:val="5C1E7291"/>
    <w:rsid w:val="5C662A50"/>
    <w:rsid w:val="5C916731"/>
    <w:rsid w:val="5CA620C8"/>
    <w:rsid w:val="5CB35440"/>
    <w:rsid w:val="5CC73DD6"/>
    <w:rsid w:val="5CEA2522"/>
    <w:rsid w:val="5CF2777D"/>
    <w:rsid w:val="5CFF1508"/>
    <w:rsid w:val="5D0D01B7"/>
    <w:rsid w:val="5D2708E3"/>
    <w:rsid w:val="5D664D05"/>
    <w:rsid w:val="5D7C584C"/>
    <w:rsid w:val="5D7F0635"/>
    <w:rsid w:val="5D894E7F"/>
    <w:rsid w:val="5D8D080D"/>
    <w:rsid w:val="5D935CE3"/>
    <w:rsid w:val="5DBF6493"/>
    <w:rsid w:val="5DC05209"/>
    <w:rsid w:val="5DC12605"/>
    <w:rsid w:val="5DD5494D"/>
    <w:rsid w:val="5E06655E"/>
    <w:rsid w:val="5E381A8A"/>
    <w:rsid w:val="5E3A6AA2"/>
    <w:rsid w:val="5E3E4C2D"/>
    <w:rsid w:val="5E5867E1"/>
    <w:rsid w:val="5E674F7E"/>
    <w:rsid w:val="5E874CE8"/>
    <w:rsid w:val="5E9224E3"/>
    <w:rsid w:val="5EA50A24"/>
    <w:rsid w:val="5EB00E5C"/>
    <w:rsid w:val="5ECC354A"/>
    <w:rsid w:val="5ED35331"/>
    <w:rsid w:val="5EE37831"/>
    <w:rsid w:val="5EEB7859"/>
    <w:rsid w:val="5F01547F"/>
    <w:rsid w:val="5F0211D3"/>
    <w:rsid w:val="5F0A3D5F"/>
    <w:rsid w:val="5F213F68"/>
    <w:rsid w:val="5F2F6349"/>
    <w:rsid w:val="5F600D4E"/>
    <w:rsid w:val="5F7425E5"/>
    <w:rsid w:val="5F7D1608"/>
    <w:rsid w:val="5F8E3078"/>
    <w:rsid w:val="5F956DDF"/>
    <w:rsid w:val="5F991667"/>
    <w:rsid w:val="5F9B1E42"/>
    <w:rsid w:val="5FA416F1"/>
    <w:rsid w:val="5FD93954"/>
    <w:rsid w:val="5FDC55D3"/>
    <w:rsid w:val="5FDE0955"/>
    <w:rsid w:val="5FF469EE"/>
    <w:rsid w:val="5FFB0094"/>
    <w:rsid w:val="60160416"/>
    <w:rsid w:val="60160C5E"/>
    <w:rsid w:val="60305CC7"/>
    <w:rsid w:val="604A1238"/>
    <w:rsid w:val="608D5B2E"/>
    <w:rsid w:val="60A62DBA"/>
    <w:rsid w:val="60BE77C1"/>
    <w:rsid w:val="60C03CCF"/>
    <w:rsid w:val="60C14270"/>
    <w:rsid w:val="60D42D03"/>
    <w:rsid w:val="60E62609"/>
    <w:rsid w:val="60E62C9D"/>
    <w:rsid w:val="611B62E0"/>
    <w:rsid w:val="61381112"/>
    <w:rsid w:val="615E501E"/>
    <w:rsid w:val="6180773A"/>
    <w:rsid w:val="61A06374"/>
    <w:rsid w:val="61CF3DB0"/>
    <w:rsid w:val="622470A5"/>
    <w:rsid w:val="62247F4C"/>
    <w:rsid w:val="622D2FAA"/>
    <w:rsid w:val="625D25EA"/>
    <w:rsid w:val="62857C4E"/>
    <w:rsid w:val="6286607D"/>
    <w:rsid w:val="62A62781"/>
    <w:rsid w:val="62B334AF"/>
    <w:rsid w:val="62E05FC6"/>
    <w:rsid w:val="62EF382A"/>
    <w:rsid w:val="62FD3864"/>
    <w:rsid w:val="63087FBC"/>
    <w:rsid w:val="630F520B"/>
    <w:rsid w:val="63464F7D"/>
    <w:rsid w:val="634B0772"/>
    <w:rsid w:val="636E7A2E"/>
    <w:rsid w:val="63815A2A"/>
    <w:rsid w:val="63BF7E8E"/>
    <w:rsid w:val="63C01CBD"/>
    <w:rsid w:val="63CB0F7F"/>
    <w:rsid w:val="63E32019"/>
    <w:rsid w:val="63FC4F9D"/>
    <w:rsid w:val="6401024A"/>
    <w:rsid w:val="64217A61"/>
    <w:rsid w:val="64233CBB"/>
    <w:rsid w:val="643F3D04"/>
    <w:rsid w:val="644204E6"/>
    <w:rsid w:val="6448326B"/>
    <w:rsid w:val="64635DFB"/>
    <w:rsid w:val="64642CA5"/>
    <w:rsid w:val="64683A23"/>
    <w:rsid w:val="64942A8F"/>
    <w:rsid w:val="64942E6C"/>
    <w:rsid w:val="64AF3910"/>
    <w:rsid w:val="64BC2C9E"/>
    <w:rsid w:val="64C626B7"/>
    <w:rsid w:val="64C62D94"/>
    <w:rsid w:val="65683151"/>
    <w:rsid w:val="658066C4"/>
    <w:rsid w:val="658405F0"/>
    <w:rsid w:val="65912A7B"/>
    <w:rsid w:val="660428AE"/>
    <w:rsid w:val="66091638"/>
    <w:rsid w:val="660D1E09"/>
    <w:rsid w:val="660E4242"/>
    <w:rsid w:val="662519F4"/>
    <w:rsid w:val="66354951"/>
    <w:rsid w:val="66442670"/>
    <w:rsid w:val="666A2C09"/>
    <w:rsid w:val="6679092A"/>
    <w:rsid w:val="669315AD"/>
    <w:rsid w:val="66BA0E07"/>
    <w:rsid w:val="66BA2385"/>
    <w:rsid w:val="66BC293A"/>
    <w:rsid w:val="66DB09CF"/>
    <w:rsid w:val="66E96680"/>
    <w:rsid w:val="66F227B6"/>
    <w:rsid w:val="67237A0F"/>
    <w:rsid w:val="67487CFE"/>
    <w:rsid w:val="67695728"/>
    <w:rsid w:val="677038E2"/>
    <w:rsid w:val="677777A9"/>
    <w:rsid w:val="67B43783"/>
    <w:rsid w:val="67B92A72"/>
    <w:rsid w:val="67D547C2"/>
    <w:rsid w:val="67FA0E09"/>
    <w:rsid w:val="680147C8"/>
    <w:rsid w:val="68075EA1"/>
    <w:rsid w:val="681B5C83"/>
    <w:rsid w:val="68233F9E"/>
    <w:rsid w:val="68277A88"/>
    <w:rsid w:val="686831F8"/>
    <w:rsid w:val="6889198F"/>
    <w:rsid w:val="68922214"/>
    <w:rsid w:val="689340A3"/>
    <w:rsid w:val="68A12E72"/>
    <w:rsid w:val="68DC73EC"/>
    <w:rsid w:val="690309F9"/>
    <w:rsid w:val="69054B5C"/>
    <w:rsid w:val="69112ACB"/>
    <w:rsid w:val="69293200"/>
    <w:rsid w:val="694347AF"/>
    <w:rsid w:val="694F06EB"/>
    <w:rsid w:val="6963607F"/>
    <w:rsid w:val="696403F8"/>
    <w:rsid w:val="69766916"/>
    <w:rsid w:val="698D63CB"/>
    <w:rsid w:val="698F77F4"/>
    <w:rsid w:val="69A20335"/>
    <w:rsid w:val="69B23B9D"/>
    <w:rsid w:val="69BD4C13"/>
    <w:rsid w:val="69E82867"/>
    <w:rsid w:val="6A086F70"/>
    <w:rsid w:val="6A323DA1"/>
    <w:rsid w:val="6A540655"/>
    <w:rsid w:val="6A5B510D"/>
    <w:rsid w:val="6A8D4C80"/>
    <w:rsid w:val="6AA159CB"/>
    <w:rsid w:val="6AA26939"/>
    <w:rsid w:val="6ACB1DCC"/>
    <w:rsid w:val="6AD50437"/>
    <w:rsid w:val="6AE4041A"/>
    <w:rsid w:val="6AEE57CB"/>
    <w:rsid w:val="6AFB18B7"/>
    <w:rsid w:val="6B235CFD"/>
    <w:rsid w:val="6B3030A0"/>
    <w:rsid w:val="6B417EB3"/>
    <w:rsid w:val="6B707214"/>
    <w:rsid w:val="6B781786"/>
    <w:rsid w:val="6B9C69D2"/>
    <w:rsid w:val="6BB104FC"/>
    <w:rsid w:val="6BC7370D"/>
    <w:rsid w:val="6BC75657"/>
    <w:rsid w:val="6BD07E4C"/>
    <w:rsid w:val="6BD126F0"/>
    <w:rsid w:val="6BE1773A"/>
    <w:rsid w:val="6BE35659"/>
    <w:rsid w:val="6C23061A"/>
    <w:rsid w:val="6C253AA6"/>
    <w:rsid w:val="6C2B66F7"/>
    <w:rsid w:val="6C56491E"/>
    <w:rsid w:val="6C5B64F3"/>
    <w:rsid w:val="6CB84F3A"/>
    <w:rsid w:val="6CD40BF2"/>
    <w:rsid w:val="6D05726A"/>
    <w:rsid w:val="6D1F1204"/>
    <w:rsid w:val="6D283CB2"/>
    <w:rsid w:val="6D3974FC"/>
    <w:rsid w:val="6D526817"/>
    <w:rsid w:val="6D673555"/>
    <w:rsid w:val="6D717C1E"/>
    <w:rsid w:val="6D92611A"/>
    <w:rsid w:val="6D981B81"/>
    <w:rsid w:val="6D994274"/>
    <w:rsid w:val="6DB90857"/>
    <w:rsid w:val="6DC267F1"/>
    <w:rsid w:val="6DC8297A"/>
    <w:rsid w:val="6DFB76C0"/>
    <w:rsid w:val="6E032FC6"/>
    <w:rsid w:val="6E083615"/>
    <w:rsid w:val="6E0D26B4"/>
    <w:rsid w:val="6E360FB8"/>
    <w:rsid w:val="6E44084F"/>
    <w:rsid w:val="6E4F3DA5"/>
    <w:rsid w:val="6E6F0BB4"/>
    <w:rsid w:val="6E6F1D57"/>
    <w:rsid w:val="6E7A62E4"/>
    <w:rsid w:val="6E9D2927"/>
    <w:rsid w:val="6EB25B0B"/>
    <w:rsid w:val="6EB80BA0"/>
    <w:rsid w:val="6EB84B4A"/>
    <w:rsid w:val="6ED37D90"/>
    <w:rsid w:val="6F00046B"/>
    <w:rsid w:val="6F065AB6"/>
    <w:rsid w:val="6F154D35"/>
    <w:rsid w:val="6F186262"/>
    <w:rsid w:val="6F3364F9"/>
    <w:rsid w:val="6F441647"/>
    <w:rsid w:val="6F4D0F66"/>
    <w:rsid w:val="6F505503"/>
    <w:rsid w:val="6F57424B"/>
    <w:rsid w:val="6F612830"/>
    <w:rsid w:val="6F9E5543"/>
    <w:rsid w:val="6FD10B10"/>
    <w:rsid w:val="6FDB3D7F"/>
    <w:rsid w:val="6FE61F22"/>
    <w:rsid w:val="6FFD00DA"/>
    <w:rsid w:val="702E686B"/>
    <w:rsid w:val="70352925"/>
    <w:rsid w:val="70505871"/>
    <w:rsid w:val="7059136B"/>
    <w:rsid w:val="7067165B"/>
    <w:rsid w:val="706B4405"/>
    <w:rsid w:val="707E12D6"/>
    <w:rsid w:val="70801B07"/>
    <w:rsid w:val="709A7A5C"/>
    <w:rsid w:val="70A1406F"/>
    <w:rsid w:val="70AA6593"/>
    <w:rsid w:val="70B0465E"/>
    <w:rsid w:val="70CE3E98"/>
    <w:rsid w:val="70FE623D"/>
    <w:rsid w:val="715B3C2A"/>
    <w:rsid w:val="717A163C"/>
    <w:rsid w:val="71803C89"/>
    <w:rsid w:val="718D6ECB"/>
    <w:rsid w:val="71994E64"/>
    <w:rsid w:val="71CA7676"/>
    <w:rsid w:val="71E05943"/>
    <w:rsid w:val="71E616D5"/>
    <w:rsid w:val="71EA7695"/>
    <w:rsid w:val="71EE7FB9"/>
    <w:rsid w:val="72263DC5"/>
    <w:rsid w:val="72536FDC"/>
    <w:rsid w:val="726054D6"/>
    <w:rsid w:val="72697CC3"/>
    <w:rsid w:val="727D4545"/>
    <w:rsid w:val="727D75DF"/>
    <w:rsid w:val="72BB74DD"/>
    <w:rsid w:val="72D36E77"/>
    <w:rsid w:val="72DD2BAD"/>
    <w:rsid w:val="72E04ACF"/>
    <w:rsid w:val="72FB66FD"/>
    <w:rsid w:val="73106242"/>
    <w:rsid w:val="731A5C10"/>
    <w:rsid w:val="732872C5"/>
    <w:rsid w:val="7360086A"/>
    <w:rsid w:val="739A0DC0"/>
    <w:rsid w:val="73B920B2"/>
    <w:rsid w:val="74085669"/>
    <w:rsid w:val="740A4EF9"/>
    <w:rsid w:val="742A2B73"/>
    <w:rsid w:val="743C5C12"/>
    <w:rsid w:val="74412921"/>
    <w:rsid w:val="745744B6"/>
    <w:rsid w:val="7475710D"/>
    <w:rsid w:val="747621BD"/>
    <w:rsid w:val="74A71E5E"/>
    <w:rsid w:val="75061B64"/>
    <w:rsid w:val="75086A21"/>
    <w:rsid w:val="750B356A"/>
    <w:rsid w:val="750C4DDC"/>
    <w:rsid w:val="7510569F"/>
    <w:rsid w:val="756950CA"/>
    <w:rsid w:val="75922EAF"/>
    <w:rsid w:val="75AD28A1"/>
    <w:rsid w:val="75C224B9"/>
    <w:rsid w:val="75FB7A70"/>
    <w:rsid w:val="76013E56"/>
    <w:rsid w:val="760A7D9D"/>
    <w:rsid w:val="76335855"/>
    <w:rsid w:val="763E51CC"/>
    <w:rsid w:val="76465F91"/>
    <w:rsid w:val="766026E6"/>
    <w:rsid w:val="76B770A6"/>
    <w:rsid w:val="76CE7275"/>
    <w:rsid w:val="76E4362B"/>
    <w:rsid w:val="76EF6628"/>
    <w:rsid w:val="770A1659"/>
    <w:rsid w:val="7712242B"/>
    <w:rsid w:val="771F60E4"/>
    <w:rsid w:val="77231D40"/>
    <w:rsid w:val="773A7A8E"/>
    <w:rsid w:val="77825F67"/>
    <w:rsid w:val="77B91A42"/>
    <w:rsid w:val="77C5780E"/>
    <w:rsid w:val="77EB305A"/>
    <w:rsid w:val="782F327E"/>
    <w:rsid w:val="78397A32"/>
    <w:rsid w:val="78A06277"/>
    <w:rsid w:val="78A91184"/>
    <w:rsid w:val="78C64F8E"/>
    <w:rsid w:val="791A1EB8"/>
    <w:rsid w:val="791E4FA3"/>
    <w:rsid w:val="797167CA"/>
    <w:rsid w:val="798E4E1E"/>
    <w:rsid w:val="799E2AB3"/>
    <w:rsid w:val="79A37A59"/>
    <w:rsid w:val="79C61A14"/>
    <w:rsid w:val="79C85435"/>
    <w:rsid w:val="79D16AD3"/>
    <w:rsid w:val="79EE5B89"/>
    <w:rsid w:val="79F05A1B"/>
    <w:rsid w:val="7A020CA3"/>
    <w:rsid w:val="7A067805"/>
    <w:rsid w:val="7A181B27"/>
    <w:rsid w:val="7AA408FA"/>
    <w:rsid w:val="7AC34D04"/>
    <w:rsid w:val="7AD60288"/>
    <w:rsid w:val="7B123707"/>
    <w:rsid w:val="7B236D19"/>
    <w:rsid w:val="7B307625"/>
    <w:rsid w:val="7B347CEC"/>
    <w:rsid w:val="7B576B4E"/>
    <w:rsid w:val="7B761608"/>
    <w:rsid w:val="7B87133C"/>
    <w:rsid w:val="7BBF721F"/>
    <w:rsid w:val="7C105077"/>
    <w:rsid w:val="7C416F95"/>
    <w:rsid w:val="7C4E5B9F"/>
    <w:rsid w:val="7C580760"/>
    <w:rsid w:val="7C8B3404"/>
    <w:rsid w:val="7C8D6ADA"/>
    <w:rsid w:val="7C9C47E0"/>
    <w:rsid w:val="7C9E070C"/>
    <w:rsid w:val="7CBB152F"/>
    <w:rsid w:val="7CF64F02"/>
    <w:rsid w:val="7D030EE0"/>
    <w:rsid w:val="7D1771BF"/>
    <w:rsid w:val="7D2C343C"/>
    <w:rsid w:val="7D4C3183"/>
    <w:rsid w:val="7D9314F6"/>
    <w:rsid w:val="7D99109C"/>
    <w:rsid w:val="7D9C06C0"/>
    <w:rsid w:val="7DAB4741"/>
    <w:rsid w:val="7DBE5AB2"/>
    <w:rsid w:val="7DDB441F"/>
    <w:rsid w:val="7E077DCE"/>
    <w:rsid w:val="7E4B1AB3"/>
    <w:rsid w:val="7E58216F"/>
    <w:rsid w:val="7E58478A"/>
    <w:rsid w:val="7E70415D"/>
    <w:rsid w:val="7E7F1745"/>
    <w:rsid w:val="7E886BD8"/>
    <w:rsid w:val="7E922F1E"/>
    <w:rsid w:val="7E9C1A45"/>
    <w:rsid w:val="7EEF7176"/>
    <w:rsid w:val="7F356E88"/>
    <w:rsid w:val="7F5D7752"/>
    <w:rsid w:val="7F7A668F"/>
    <w:rsid w:val="7F7C1BAA"/>
    <w:rsid w:val="7F7D2AB8"/>
    <w:rsid w:val="7F817243"/>
    <w:rsid w:val="7F91228D"/>
    <w:rsid w:val="7F980D98"/>
    <w:rsid w:val="7FAF30F2"/>
    <w:rsid w:val="7FB528C3"/>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NO"/>
    <w:basedOn w:val="1"/>
    <w:autoRedefine/>
    <w:qFormat/>
    <w:uiPriority w:val="0"/>
    <w:pPr>
      <w:keepLines/>
      <w:ind w:left="1135" w:hanging="851"/>
    </w:pPr>
  </w:style>
  <w:style w:type="paragraph" w:customStyle="1" w:styleId="38">
    <w:name w:val="Doc-comment"/>
    <w:basedOn w:val="1"/>
    <w:next w:val="25"/>
    <w:autoRedefine/>
    <w:qFormat/>
    <w:uiPriority w:val="0"/>
    <w:pPr>
      <w:tabs>
        <w:tab w:val="left" w:pos="1622"/>
      </w:tabs>
      <w:spacing w:before="0"/>
      <w:ind w:left="1622" w:hanging="363"/>
    </w:pPr>
    <w:rPr>
      <w:i/>
    </w:rPr>
  </w:style>
  <w:style w:type="paragraph" w:customStyle="1" w:styleId="39">
    <w:name w:val="B3"/>
    <w:basedOn w:val="1"/>
    <w:autoRedefine/>
    <w:qFormat/>
    <w:uiPriority w:val="0"/>
    <w:pPr>
      <w:ind w:left="1135" w:hanging="284"/>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1246</Words>
  <Characters>6914</Characters>
  <Lines>49</Lines>
  <Paragraphs>13</Paragraphs>
  <TotalTime>0</TotalTime>
  <ScaleCrop>false</ScaleCrop>
  <LinksUpToDate>false</LinksUpToDate>
  <CharactersWithSpaces>8157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2024-11-08T06:50:35Z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BBD27BAE9C594A29B07A91C603D6E21A_13</vt:lpwstr>
  </property>
</Properties>
</file>